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rPr>
          <w:rFonts w:hint="eastAsia" w:ascii="黑体" w:hAnsi="黑体" w:eastAsia="黑体" w:cs="黑体"/>
          <w:color w:val="000000" w:themeColor="text1"/>
          <w:sz w:val="32"/>
          <w:szCs w:val="32"/>
          <w14:textFill>
            <w14:solidFill>
              <w14:schemeClr w14:val="tx1"/>
            </w14:solidFill>
          </w14:textFill>
        </w:rPr>
      </w:pPr>
      <w:bookmarkStart w:id="0" w:name="_GoBack"/>
      <w:bookmarkEnd w:id="0"/>
      <w:r>
        <w:rPr>
          <w:rFonts w:hint="eastAsia" w:ascii="黑体" w:hAnsi="黑体" w:eastAsia="黑体" w:cs="黑体"/>
          <w:color w:val="000000" w:themeColor="text1"/>
          <w:sz w:val="32"/>
          <w:szCs w:val="32"/>
          <w14:textFill>
            <w14:solidFill>
              <w14:schemeClr w14:val="tx1"/>
            </w14:solidFill>
          </w14:textFill>
        </w:rPr>
        <w:t>附件3</w:t>
      </w:r>
    </w:p>
    <w:p>
      <w:pPr>
        <w:jc w:val="center"/>
        <w:rPr>
          <w:rFonts w:ascii="黑体" w:eastAsia="黑体"/>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福州市“文化企业十强”考评指标体系</w:t>
      </w:r>
    </w:p>
    <w:tbl>
      <w:tblPr>
        <w:tblStyle w:val="2"/>
        <w:tblpPr w:leftFromText="180" w:rightFromText="180" w:vertAnchor="text" w:horzAnchor="margin" w:tblpXSpec="center" w:tblpY="293"/>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26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Align w:val="center"/>
          </w:tcPr>
          <w:p>
            <w:pPr>
              <w:jc w:val="center"/>
              <w:rPr>
                <w:rFonts w:ascii="黑体" w:eastAsia="黑体"/>
                <w:color w:val="000000"/>
                <w:sz w:val="24"/>
              </w:rPr>
            </w:pPr>
            <w:r>
              <w:rPr>
                <w:rFonts w:hint="eastAsia" w:ascii="黑体" w:eastAsia="黑体"/>
                <w:color w:val="000000"/>
                <w:sz w:val="24"/>
              </w:rPr>
              <w:t>一级</w:t>
            </w:r>
          </w:p>
          <w:p>
            <w:pPr>
              <w:jc w:val="center"/>
              <w:rPr>
                <w:rFonts w:ascii="黑体" w:eastAsia="黑体"/>
                <w:color w:val="000000"/>
                <w:sz w:val="24"/>
              </w:rPr>
            </w:pPr>
            <w:r>
              <w:rPr>
                <w:rFonts w:hint="eastAsia" w:ascii="黑体" w:eastAsia="黑体"/>
                <w:color w:val="000000"/>
                <w:sz w:val="24"/>
              </w:rPr>
              <w:t>指标</w:t>
            </w:r>
          </w:p>
        </w:tc>
        <w:tc>
          <w:tcPr>
            <w:tcW w:w="1260" w:type="dxa"/>
            <w:vAlign w:val="center"/>
          </w:tcPr>
          <w:p>
            <w:pPr>
              <w:jc w:val="center"/>
              <w:rPr>
                <w:rFonts w:ascii="黑体" w:eastAsia="黑体"/>
                <w:color w:val="000000"/>
                <w:sz w:val="24"/>
              </w:rPr>
            </w:pPr>
            <w:r>
              <w:rPr>
                <w:rFonts w:hint="eastAsia" w:ascii="黑体" w:eastAsia="黑体"/>
                <w:color w:val="000000"/>
                <w:sz w:val="24"/>
              </w:rPr>
              <w:t>二级</w:t>
            </w:r>
          </w:p>
          <w:p>
            <w:pPr>
              <w:jc w:val="center"/>
              <w:rPr>
                <w:rFonts w:ascii="黑体" w:eastAsia="黑体"/>
                <w:color w:val="000000"/>
                <w:sz w:val="24"/>
              </w:rPr>
            </w:pPr>
            <w:r>
              <w:rPr>
                <w:rFonts w:hint="eastAsia" w:ascii="黑体" w:eastAsia="黑体"/>
                <w:color w:val="000000"/>
                <w:sz w:val="24"/>
              </w:rPr>
              <w:t>指标</w:t>
            </w:r>
          </w:p>
        </w:tc>
        <w:tc>
          <w:tcPr>
            <w:tcW w:w="5940" w:type="dxa"/>
            <w:vAlign w:val="center"/>
          </w:tcPr>
          <w:p>
            <w:pPr>
              <w:jc w:val="center"/>
              <w:rPr>
                <w:rFonts w:ascii="黑体" w:eastAsia="黑体"/>
                <w:color w:val="000000"/>
                <w:sz w:val="24"/>
              </w:rPr>
            </w:pPr>
            <w:r>
              <w:rPr>
                <w:rFonts w:hint="eastAsia" w:ascii="黑体" w:eastAsia="黑体"/>
                <w:color w:val="000000"/>
                <w:sz w:val="24"/>
              </w:rPr>
              <w:t>量化分值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社会</w:t>
            </w:r>
          </w:p>
          <w:p>
            <w:pPr>
              <w:jc w:val="center"/>
              <w:rPr>
                <w:rFonts w:ascii="仿宋_GB2312" w:eastAsia="仿宋_GB2312"/>
                <w:color w:val="000000"/>
                <w:sz w:val="24"/>
              </w:rPr>
            </w:pPr>
            <w:r>
              <w:rPr>
                <w:rFonts w:hint="eastAsia" w:ascii="仿宋_GB2312" w:eastAsia="仿宋_GB2312"/>
                <w:color w:val="000000"/>
                <w:sz w:val="24"/>
              </w:rPr>
              <w:t>效益</w:t>
            </w:r>
          </w:p>
          <w:p>
            <w:pPr>
              <w:jc w:val="center"/>
              <w:rPr>
                <w:rFonts w:ascii="仿宋_GB2312" w:eastAsia="仿宋_GB2312"/>
                <w:color w:val="000000"/>
                <w:sz w:val="24"/>
              </w:rPr>
            </w:pPr>
            <w:r>
              <w:rPr>
                <w:rFonts w:hint="eastAsia" w:ascii="仿宋_GB2312" w:eastAsia="仿宋_GB2312"/>
                <w:color w:val="000000"/>
                <w:sz w:val="24"/>
              </w:rPr>
              <w:t>50分</w:t>
            </w:r>
          </w:p>
        </w:tc>
        <w:tc>
          <w:tcPr>
            <w:tcW w:w="1260" w:type="dxa"/>
            <w:vAlign w:val="center"/>
          </w:tcPr>
          <w:p>
            <w:pPr>
              <w:jc w:val="center"/>
              <w:rPr>
                <w:rFonts w:ascii="仿宋_GB2312" w:eastAsia="仿宋_GB2312"/>
                <w:color w:val="000000"/>
                <w:sz w:val="24"/>
              </w:rPr>
            </w:pPr>
            <w:r>
              <w:rPr>
                <w:rFonts w:hint="eastAsia" w:ascii="仿宋_GB2312" w:eastAsia="仿宋_GB2312"/>
                <w:color w:val="000000"/>
                <w:sz w:val="24"/>
              </w:rPr>
              <w:t>文化导向</w:t>
            </w:r>
          </w:p>
          <w:p>
            <w:pPr>
              <w:jc w:val="center"/>
              <w:rPr>
                <w:rFonts w:ascii="仿宋_GB2312" w:eastAsia="仿宋_GB2312"/>
                <w:color w:val="000000"/>
                <w:sz w:val="24"/>
              </w:rPr>
            </w:pPr>
            <w:r>
              <w:rPr>
                <w:rFonts w:hint="eastAsia" w:ascii="仿宋_GB2312" w:eastAsia="仿宋_GB2312"/>
                <w:color w:val="000000"/>
                <w:sz w:val="24"/>
              </w:rPr>
              <w:t>10分</w:t>
            </w:r>
          </w:p>
        </w:tc>
        <w:tc>
          <w:tcPr>
            <w:tcW w:w="5940" w:type="dxa"/>
            <w:vAlign w:val="center"/>
          </w:tcPr>
          <w:p>
            <w:pPr>
              <w:rPr>
                <w:rFonts w:ascii="仿宋_GB2312" w:hAnsi="宋体" w:eastAsia="仿宋_GB2312"/>
                <w:color w:val="000000"/>
                <w:sz w:val="24"/>
              </w:rPr>
            </w:pPr>
            <w:r>
              <w:rPr>
                <w:rFonts w:hint="eastAsia" w:ascii="仿宋_GB2312" w:hAnsi="宋体" w:eastAsia="仿宋_GB2312"/>
                <w:color w:val="000000"/>
                <w:sz w:val="24"/>
              </w:rPr>
              <w:t>结合企业的文化产品和服务对弘扬社会主义核心价值观、中华优秀传统文化、红色文化以及闽都文化等的促进作用，给予打分。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continue"/>
            <w:vAlign w:val="center"/>
          </w:tcPr>
          <w:p>
            <w:pPr>
              <w:jc w:val="center"/>
              <w:rPr>
                <w:rFonts w:ascii="仿宋_GB2312" w:eastAsia="仿宋_GB2312"/>
                <w:color w:val="000000"/>
                <w:sz w:val="24"/>
              </w:rPr>
            </w:pPr>
          </w:p>
        </w:tc>
        <w:tc>
          <w:tcPr>
            <w:tcW w:w="1260" w:type="dxa"/>
            <w:vAlign w:val="center"/>
          </w:tcPr>
          <w:p>
            <w:pPr>
              <w:jc w:val="center"/>
              <w:rPr>
                <w:rFonts w:ascii="仿宋_GB2312" w:eastAsia="仿宋_GB2312"/>
                <w:sz w:val="24"/>
              </w:rPr>
            </w:pPr>
            <w:r>
              <w:rPr>
                <w:rFonts w:hint="eastAsia" w:ascii="仿宋_GB2312" w:eastAsia="仿宋_GB2312"/>
                <w:sz w:val="24"/>
              </w:rPr>
              <w:t>公益服务</w:t>
            </w:r>
          </w:p>
          <w:p>
            <w:pPr>
              <w:jc w:val="center"/>
              <w:rPr>
                <w:rFonts w:ascii="仿宋_GB2312" w:eastAsia="仿宋_GB2312"/>
                <w:sz w:val="24"/>
              </w:rPr>
            </w:pPr>
            <w:r>
              <w:rPr>
                <w:rFonts w:hint="eastAsia" w:ascii="仿宋_GB2312" w:eastAsia="仿宋_GB2312"/>
                <w:sz w:val="24"/>
              </w:rPr>
              <w:t>10分</w:t>
            </w:r>
          </w:p>
        </w:tc>
        <w:tc>
          <w:tcPr>
            <w:tcW w:w="5940" w:type="dxa"/>
            <w:vAlign w:val="center"/>
          </w:tcPr>
          <w:p>
            <w:pPr>
              <w:rPr>
                <w:rFonts w:ascii="仿宋_GB2312" w:hAnsi="宋体" w:eastAsia="仿宋_GB2312"/>
                <w:sz w:val="24"/>
              </w:rPr>
            </w:pPr>
            <w:r>
              <w:rPr>
                <w:rFonts w:ascii="仿宋_GB2312" w:hAnsi="宋体" w:eastAsia="仿宋_GB2312"/>
                <w:sz w:val="24"/>
              </w:rPr>
              <w:t>1、企业获得市级以上诚信经营、扶贫助困、捐资助学、</w:t>
            </w:r>
          </w:p>
          <w:p>
            <w:pPr>
              <w:rPr>
                <w:rFonts w:ascii="仿宋_GB2312" w:hAnsi="宋体" w:eastAsia="仿宋_GB2312"/>
                <w:sz w:val="24"/>
              </w:rPr>
            </w:pPr>
            <w:r>
              <w:rPr>
                <w:rFonts w:ascii="仿宋_GB2312" w:hAnsi="宋体" w:eastAsia="仿宋_GB2312"/>
                <w:sz w:val="24"/>
              </w:rPr>
              <w:t xml:space="preserve">   精神文明等公益性的奖项，国家级、省级、市级的</w:t>
            </w:r>
          </w:p>
          <w:p>
            <w:pPr>
              <w:ind w:firstLine="360" w:firstLineChars="150"/>
              <w:rPr>
                <w:rFonts w:ascii="仿宋_GB2312" w:hAnsi="宋体" w:eastAsia="仿宋_GB2312"/>
                <w:sz w:val="24"/>
              </w:rPr>
            </w:pPr>
            <w:r>
              <w:rPr>
                <w:rFonts w:hint="eastAsia" w:ascii="仿宋_GB2312" w:hAnsi="宋体" w:eastAsia="仿宋_GB2312"/>
                <w:sz w:val="24"/>
              </w:rPr>
              <w:t>每个奖项分别可得</w:t>
            </w:r>
            <w:r>
              <w:rPr>
                <w:rFonts w:ascii="仿宋_GB2312" w:hAnsi="宋体" w:eastAsia="仿宋_GB2312"/>
                <w:sz w:val="24"/>
              </w:rPr>
              <w:t>4-5分、2-</w:t>
            </w:r>
            <w:r>
              <w:rPr>
                <w:rFonts w:hint="eastAsia" w:ascii="仿宋_GB2312" w:hAnsi="宋体" w:eastAsia="仿宋_GB2312"/>
                <w:sz w:val="24"/>
              </w:rPr>
              <w:t>3分和</w:t>
            </w:r>
            <w:r>
              <w:rPr>
                <w:rFonts w:ascii="仿宋_GB2312" w:hAnsi="宋体" w:eastAsia="仿宋_GB2312"/>
                <w:sz w:val="24"/>
              </w:rPr>
              <w:t>1分。</w:t>
            </w:r>
          </w:p>
          <w:p>
            <w:pPr>
              <w:rPr>
                <w:rFonts w:ascii="仿宋_GB2312" w:hAnsi="宋体" w:eastAsia="仿宋_GB2312"/>
                <w:sz w:val="24"/>
              </w:rPr>
            </w:pPr>
            <w:r>
              <w:rPr>
                <w:rFonts w:ascii="仿宋_GB2312" w:hAnsi="宋体" w:eastAsia="仿宋_GB2312"/>
                <w:sz w:val="24"/>
              </w:rPr>
              <w:t>2、企业组织或参与各类公益活动（5分）。</w:t>
            </w:r>
          </w:p>
          <w:p>
            <w:pPr>
              <w:rPr>
                <w:rFonts w:ascii="仿宋_GB2312" w:hAnsi="宋体" w:eastAsia="仿宋_GB2312"/>
                <w:sz w:val="24"/>
              </w:rPr>
            </w:pPr>
            <w:r>
              <w:rPr>
                <w:rFonts w:ascii="仿宋_GB2312" w:hAnsi="宋体" w:eastAsia="仿宋_GB2312"/>
                <w:sz w:val="24"/>
              </w:rPr>
              <w:t>3、以上分数可累加，但不超过15分。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continue"/>
            <w:vAlign w:val="center"/>
          </w:tcPr>
          <w:p>
            <w:pPr>
              <w:jc w:val="center"/>
              <w:rPr>
                <w:rFonts w:ascii="仿宋_GB2312" w:eastAsia="仿宋_GB2312"/>
                <w:color w:val="000000"/>
                <w:sz w:val="24"/>
              </w:rPr>
            </w:pPr>
          </w:p>
        </w:tc>
        <w:tc>
          <w:tcPr>
            <w:tcW w:w="1260" w:type="dxa"/>
            <w:vAlign w:val="center"/>
          </w:tcPr>
          <w:p>
            <w:pPr>
              <w:jc w:val="center"/>
              <w:rPr>
                <w:rFonts w:ascii="仿宋_GB2312" w:eastAsia="仿宋_GB2312"/>
                <w:sz w:val="24"/>
              </w:rPr>
            </w:pPr>
            <w:r>
              <w:rPr>
                <w:rFonts w:hint="eastAsia" w:ascii="仿宋_GB2312" w:eastAsia="仿宋_GB2312"/>
                <w:sz w:val="24"/>
              </w:rPr>
              <w:t>行业引领20分</w:t>
            </w:r>
          </w:p>
        </w:tc>
        <w:tc>
          <w:tcPr>
            <w:tcW w:w="5940" w:type="dxa"/>
            <w:vAlign w:val="center"/>
          </w:tcPr>
          <w:p>
            <w:pPr>
              <w:ind w:left="360" w:hanging="360" w:hangingChars="150"/>
              <w:rPr>
                <w:rFonts w:ascii="仿宋_GB2312" w:hAnsi="宋体" w:eastAsia="仿宋_GB2312"/>
                <w:sz w:val="24"/>
              </w:rPr>
            </w:pPr>
            <w:r>
              <w:rPr>
                <w:rFonts w:ascii="仿宋_GB2312" w:hAnsi="宋体" w:eastAsia="仿宋_GB2312"/>
                <w:sz w:val="24"/>
              </w:rPr>
              <w:t>1、企业或产品获得市级以上文化相关荣誉，国家级、省级、市级的每个奖项分别可得4-5分、2-3分和1分。</w:t>
            </w:r>
          </w:p>
          <w:p>
            <w:pPr>
              <w:rPr>
                <w:rFonts w:ascii="仿宋_GB2312" w:hAnsi="宋体" w:eastAsia="仿宋_GB2312"/>
                <w:sz w:val="24"/>
              </w:rPr>
            </w:pPr>
            <w:r>
              <w:rPr>
                <w:rFonts w:ascii="仿宋_GB2312" w:hAnsi="宋体" w:eastAsia="仿宋_GB2312"/>
                <w:sz w:val="24"/>
              </w:rPr>
              <w:t>2、企业或企业负责人担任</w:t>
            </w:r>
            <w:r>
              <w:rPr>
                <w:rFonts w:hint="eastAsia" w:ascii="仿宋_GB2312" w:hAnsi="宋体" w:eastAsia="仿宋_GB2312"/>
                <w:sz w:val="24"/>
              </w:rPr>
              <w:t>文化领域行业组织会长（单</w:t>
            </w:r>
          </w:p>
          <w:p>
            <w:pPr>
              <w:ind w:firstLine="360" w:firstLineChars="150"/>
              <w:rPr>
                <w:rFonts w:ascii="仿宋_GB2312" w:hAnsi="宋体" w:eastAsia="仿宋_GB2312"/>
                <w:sz w:val="24"/>
              </w:rPr>
            </w:pPr>
            <w:r>
              <w:rPr>
                <w:rFonts w:hint="eastAsia" w:ascii="仿宋_GB2312" w:hAnsi="宋体" w:eastAsia="仿宋_GB2312"/>
                <w:sz w:val="24"/>
              </w:rPr>
              <w:t>位）情况，国家级、省级、市级的每个会长或副会</w:t>
            </w:r>
          </w:p>
          <w:p>
            <w:pPr>
              <w:ind w:firstLine="360" w:firstLineChars="150"/>
              <w:rPr>
                <w:rFonts w:ascii="仿宋_GB2312" w:hAnsi="宋体" w:eastAsia="仿宋_GB2312"/>
                <w:sz w:val="24"/>
              </w:rPr>
            </w:pPr>
            <w:r>
              <w:rPr>
                <w:rFonts w:hint="eastAsia" w:ascii="仿宋_GB2312" w:hAnsi="宋体" w:eastAsia="仿宋_GB2312"/>
                <w:sz w:val="24"/>
              </w:rPr>
              <w:t>长分别为</w:t>
            </w:r>
            <w:r>
              <w:rPr>
                <w:rFonts w:ascii="仿宋_GB2312" w:hAnsi="宋体" w:eastAsia="仿宋_GB2312"/>
                <w:sz w:val="24"/>
              </w:rPr>
              <w:t>6-8分、3-5分、1-2分。</w:t>
            </w:r>
          </w:p>
          <w:p>
            <w:pPr>
              <w:rPr>
                <w:rFonts w:ascii="仿宋_GB2312" w:hAnsi="宋体" w:eastAsia="仿宋_GB2312"/>
                <w:sz w:val="24"/>
              </w:rPr>
            </w:pPr>
            <w:r>
              <w:rPr>
                <w:rFonts w:hint="eastAsia" w:ascii="仿宋_GB2312" w:hAnsi="宋体" w:eastAsia="仿宋_GB2312"/>
                <w:sz w:val="24"/>
              </w:rPr>
              <w:t>3、企业纳税总额情况（</w:t>
            </w:r>
            <w:r>
              <w:rPr>
                <w:rFonts w:ascii="仿宋_GB2312" w:hAnsi="宋体" w:eastAsia="仿宋_GB2312"/>
                <w:sz w:val="24"/>
              </w:rPr>
              <w:t>5分</w:t>
            </w:r>
            <w:r>
              <w:rPr>
                <w:rFonts w:hint="eastAsia" w:ascii="仿宋_GB2312" w:hAnsi="宋体" w:eastAsia="仿宋_GB2312"/>
                <w:sz w:val="24"/>
              </w:rPr>
              <w:t>）</w:t>
            </w:r>
            <w:r>
              <w:rPr>
                <w:rFonts w:ascii="仿宋_GB2312" w:hAnsi="宋体" w:eastAsia="仿宋_GB2312"/>
                <w:sz w:val="24"/>
              </w:rPr>
              <w:t>。</w:t>
            </w:r>
          </w:p>
          <w:p>
            <w:pPr>
              <w:rPr>
                <w:rFonts w:ascii="仿宋_GB2312" w:hAnsi="宋体" w:eastAsia="仿宋_GB2312"/>
                <w:sz w:val="24"/>
              </w:rPr>
            </w:pPr>
            <w:r>
              <w:rPr>
                <w:rFonts w:hint="eastAsia" w:ascii="仿宋_GB2312" w:hAnsi="宋体" w:eastAsia="仿宋_GB2312"/>
                <w:sz w:val="24"/>
              </w:rPr>
              <w:t>4</w:t>
            </w:r>
            <w:r>
              <w:rPr>
                <w:rFonts w:ascii="仿宋_GB2312" w:hAnsi="宋体" w:eastAsia="仿宋_GB2312"/>
                <w:sz w:val="24"/>
              </w:rPr>
              <w:t>、以上分数可累加，但不超过</w:t>
            </w:r>
            <w:r>
              <w:rPr>
                <w:rFonts w:hint="eastAsia" w:ascii="仿宋_GB2312" w:hAnsi="宋体" w:eastAsia="仿宋_GB2312"/>
                <w:sz w:val="24"/>
              </w:rPr>
              <w:t>20</w:t>
            </w:r>
            <w:r>
              <w:rPr>
                <w:rFonts w:ascii="仿宋_GB2312" w:hAnsi="宋体"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continue"/>
            <w:vAlign w:val="center"/>
          </w:tcPr>
          <w:p>
            <w:pPr>
              <w:jc w:val="center"/>
              <w:rPr>
                <w:rFonts w:ascii="仿宋_GB2312" w:eastAsia="仿宋_GB2312"/>
                <w:color w:val="000000"/>
                <w:sz w:val="24"/>
              </w:rPr>
            </w:pPr>
          </w:p>
        </w:tc>
        <w:tc>
          <w:tcPr>
            <w:tcW w:w="1260" w:type="dxa"/>
            <w:vAlign w:val="center"/>
          </w:tcPr>
          <w:p>
            <w:pPr>
              <w:jc w:val="center"/>
              <w:rPr>
                <w:rFonts w:ascii="仿宋_GB2312" w:eastAsia="仿宋_GB2312"/>
                <w:sz w:val="24"/>
              </w:rPr>
            </w:pPr>
            <w:r>
              <w:rPr>
                <w:rFonts w:hint="eastAsia" w:ascii="仿宋_GB2312" w:eastAsia="仿宋_GB2312"/>
                <w:sz w:val="24"/>
              </w:rPr>
              <w:t>品牌影响</w:t>
            </w:r>
          </w:p>
          <w:p>
            <w:pPr>
              <w:jc w:val="center"/>
              <w:rPr>
                <w:rFonts w:ascii="仿宋_GB2312" w:eastAsia="仿宋_GB2312"/>
                <w:sz w:val="24"/>
              </w:rPr>
            </w:pPr>
            <w:r>
              <w:rPr>
                <w:rFonts w:hint="eastAsia" w:ascii="仿宋_GB2312" w:eastAsia="仿宋_GB2312"/>
                <w:sz w:val="24"/>
              </w:rPr>
              <w:t>10分</w:t>
            </w:r>
          </w:p>
        </w:tc>
        <w:tc>
          <w:tcPr>
            <w:tcW w:w="5940" w:type="dxa"/>
            <w:vAlign w:val="center"/>
          </w:tcPr>
          <w:p>
            <w:pPr>
              <w:ind w:left="360" w:hanging="360" w:hangingChars="150"/>
              <w:rPr>
                <w:rFonts w:ascii="仿宋_GB2312" w:hAnsi="宋体" w:eastAsia="仿宋_GB2312"/>
                <w:sz w:val="24"/>
              </w:rPr>
            </w:pPr>
            <w:r>
              <w:rPr>
                <w:rFonts w:ascii="仿宋_GB2312" w:hAnsi="宋体" w:eastAsia="仿宋_GB2312"/>
                <w:sz w:val="24"/>
              </w:rPr>
              <w:t>1、企业或产品获得市级以上品牌相关称号，国家级的每个奖项</w:t>
            </w:r>
            <w:r>
              <w:rPr>
                <w:rFonts w:hint="eastAsia" w:ascii="仿宋_GB2312" w:hAnsi="宋体" w:eastAsia="仿宋_GB2312"/>
                <w:sz w:val="24"/>
              </w:rPr>
              <w:t>4</w:t>
            </w:r>
            <w:r>
              <w:rPr>
                <w:rFonts w:ascii="仿宋_GB2312" w:hAnsi="宋体" w:eastAsia="仿宋_GB2312"/>
                <w:sz w:val="24"/>
              </w:rPr>
              <w:t>-</w:t>
            </w:r>
            <w:r>
              <w:rPr>
                <w:rFonts w:hint="eastAsia" w:ascii="仿宋_GB2312" w:hAnsi="宋体" w:eastAsia="仿宋_GB2312"/>
                <w:sz w:val="24"/>
              </w:rPr>
              <w:t>5分，省级的每个奖项2</w:t>
            </w:r>
            <w:r>
              <w:rPr>
                <w:rFonts w:ascii="仿宋_GB2312" w:hAnsi="宋体" w:eastAsia="仿宋_GB2312"/>
                <w:sz w:val="24"/>
              </w:rPr>
              <w:t>-</w:t>
            </w:r>
            <w:r>
              <w:rPr>
                <w:rFonts w:hint="eastAsia" w:ascii="仿宋_GB2312" w:hAnsi="宋体" w:eastAsia="仿宋_GB2312"/>
                <w:sz w:val="24"/>
              </w:rPr>
              <w:t>3分，市级的每个奖项</w:t>
            </w:r>
            <w:r>
              <w:rPr>
                <w:rFonts w:ascii="仿宋_GB2312" w:hAnsi="宋体" w:eastAsia="仿宋_GB2312"/>
                <w:sz w:val="24"/>
              </w:rPr>
              <w:t>1分。</w:t>
            </w:r>
          </w:p>
          <w:p>
            <w:pPr>
              <w:rPr>
                <w:rFonts w:ascii="仿宋_GB2312" w:hAnsi="宋体" w:eastAsia="仿宋_GB2312"/>
                <w:sz w:val="24"/>
              </w:rPr>
            </w:pPr>
            <w:r>
              <w:rPr>
                <w:rFonts w:ascii="仿宋_GB2312" w:hAnsi="宋体" w:eastAsia="仿宋_GB2312"/>
                <w:sz w:val="24"/>
              </w:rPr>
              <w:t>2、企业或产品广告</w:t>
            </w:r>
            <w:r>
              <w:rPr>
                <w:rFonts w:hint="eastAsia" w:ascii="仿宋_GB2312" w:hAnsi="宋体" w:eastAsia="仿宋_GB2312"/>
                <w:sz w:val="24"/>
              </w:rPr>
              <w:t>投放情况（</w:t>
            </w:r>
            <w:r>
              <w:rPr>
                <w:rFonts w:ascii="仿宋_GB2312" w:hAnsi="宋体" w:eastAsia="仿宋_GB2312"/>
                <w:sz w:val="24"/>
              </w:rPr>
              <w:t>3分）。</w:t>
            </w:r>
          </w:p>
          <w:p>
            <w:pPr>
              <w:ind w:left="240" w:hanging="240" w:hangingChars="100"/>
              <w:rPr>
                <w:rFonts w:ascii="仿宋_GB2312" w:hAnsi="宋体" w:eastAsia="仿宋_GB2312"/>
                <w:sz w:val="24"/>
              </w:rPr>
            </w:pPr>
            <w:r>
              <w:rPr>
                <w:rFonts w:ascii="仿宋_GB2312" w:hAnsi="宋体" w:eastAsia="仿宋_GB2312"/>
                <w:sz w:val="24"/>
              </w:rPr>
              <w:t>3、权威部门发布的企业或产品的品牌知名度排名情况（</w:t>
            </w:r>
            <w:r>
              <w:rPr>
                <w:rFonts w:hint="eastAsia" w:ascii="仿宋_GB2312" w:hAnsi="宋体" w:eastAsia="仿宋_GB2312"/>
                <w:sz w:val="24"/>
              </w:rPr>
              <w:t>4分）。</w:t>
            </w:r>
          </w:p>
          <w:p>
            <w:pPr>
              <w:rPr>
                <w:rFonts w:ascii="仿宋_GB2312" w:hAnsi="宋体" w:eastAsia="仿宋_GB2312"/>
                <w:sz w:val="24"/>
              </w:rPr>
            </w:pPr>
            <w:r>
              <w:rPr>
                <w:rFonts w:ascii="仿宋_GB2312" w:hAnsi="宋体" w:eastAsia="仿宋_GB2312"/>
                <w:sz w:val="24"/>
              </w:rPr>
              <w:t>4、以上分数可累加，但不超过10分。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198"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经济</w:t>
            </w:r>
          </w:p>
          <w:p>
            <w:pPr>
              <w:jc w:val="center"/>
              <w:rPr>
                <w:rFonts w:ascii="仿宋_GB2312" w:eastAsia="仿宋_GB2312"/>
                <w:color w:val="000000"/>
                <w:sz w:val="24"/>
              </w:rPr>
            </w:pPr>
            <w:r>
              <w:rPr>
                <w:rFonts w:hint="eastAsia" w:ascii="仿宋_GB2312" w:eastAsia="仿宋_GB2312"/>
                <w:color w:val="000000"/>
                <w:sz w:val="24"/>
              </w:rPr>
              <w:t>效益</w:t>
            </w:r>
          </w:p>
          <w:p>
            <w:pPr>
              <w:jc w:val="center"/>
              <w:rPr>
                <w:rFonts w:ascii="仿宋_GB2312" w:eastAsia="仿宋_GB2312"/>
                <w:color w:val="000000"/>
                <w:sz w:val="24"/>
              </w:rPr>
            </w:pPr>
            <w:r>
              <w:rPr>
                <w:rFonts w:hint="eastAsia" w:ascii="仿宋_GB2312" w:eastAsia="仿宋_GB2312"/>
                <w:color w:val="000000"/>
                <w:sz w:val="24"/>
              </w:rPr>
              <w:t>50分</w:t>
            </w:r>
          </w:p>
        </w:tc>
        <w:tc>
          <w:tcPr>
            <w:tcW w:w="1260" w:type="dxa"/>
            <w:vAlign w:val="center"/>
          </w:tcPr>
          <w:p>
            <w:pPr>
              <w:jc w:val="center"/>
              <w:rPr>
                <w:rFonts w:ascii="仿宋_GB2312" w:hAnsi="宋体" w:eastAsia="仿宋_GB2312"/>
                <w:sz w:val="24"/>
              </w:rPr>
            </w:pPr>
            <w:r>
              <w:rPr>
                <w:rFonts w:hint="eastAsia" w:ascii="仿宋_GB2312" w:hAnsi="宋体" w:eastAsia="仿宋_GB2312"/>
                <w:sz w:val="24"/>
              </w:rPr>
              <w:t>主营收入</w:t>
            </w:r>
          </w:p>
          <w:p>
            <w:pPr>
              <w:jc w:val="center"/>
              <w:rPr>
                <w:rFonts w:ascii="仿宋_GB2312" w:eastAsia="仿宋_GB2312"/>
                <w:sz w:val="24"/>
              </w:rPr>
            </w:pPr>
            <w:r>
              <w:rPr>
                <w:rFonts w:hint="eastAsia" w:ascii="仿宋_GB2312" w:eastAsia="仿宋_GB2312"/>
                <w:sz w:val="24"/>
              </w:rPr>
              <w:t>20分</w:t>
            </w:r>
          </w:p>
        </w:tc>
        <w:tc>
          <w:tcPr>
            <w:tcW w:w="5940" w:type="dxa"/>
            <w:vAlign w:val="center"/>
          </w:tcPr>
          <w:p>
            <w:pPr>
              <w:rPr>
                <w:rFonts w:ascii="仿宋_GB2312" w:eastAsia="仿宋_GB2312"/>
                <w:sz w:val="24"/>
              </w:rPr>
            </w:pPr>
            <w:r>
              <w:rPr>
                <w:rFonts w:hint="eastAsia" w:ascii="仿宋_GB2312" w:hAnsi="宋体" w:eastAsia="仿宋_GB2312"/>
                <w:sz w:val="24"/>
              </w:rPr>
              <w:t>按本类别企业排序，第</w:t>
            </w:r>
            <w:r>
              <w:rPr>
                <w:rFonts w:ascii="仿宋_GB2312" w:hAnsi="宋体" w:eastAsia="仿宋_GB2312"/>
                <w:sz w:val="24"/>
              </w:rPr>
              <w:t>1位20分，第二位15分，第三位10分，第四位5分，其余位次均为0分。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8" w:type="dxa"/>
            <w:vMerge w:val="continue"/>
            <w:vAlign w:val="center"/>
          </w:tcPr>
          <w:p>
            <w:pPr>
              <w:rPr>
                <w:rFonts w:ascii="仿宋_GB2312" w:eastAsia="仿宋_GB2312"/>
                <w:color w:val="000000"/>
                <w:sz w:val="24"/>
              </w:rPr>
            </w:pPr>
          </w:p>
        </w:tc>
        <w:tc>
          <w:tcPr>
            <w:tcW w:w="1260" w:type="dxa"/>
            <w:vAlign w:val="center"/>
          </w:tcPr>
          <w:p>
            <w:pPr>
              <w:jc w:val="center"/>
              <w:rPr>
                <w:rFonts w:ascii="仿宋_GB2312" w:hAnsi="宋体" w:eastAsia="仿宋_GB2312"/>
                <w:sz w:val="24"/>
              </w:rPr>
            </w:pPr>
            <w:r>
              <w:rPr>
                <w:rFonts w:hint="eastAsia" w:ascii="仿宋_GB2312" w:hAnsi="宋体" w:eastAsia="仿宋_GB2312"/>
                <w:sz w:val="24"/>
              </w:rPr>
              <w:t>净利润</w:t>
            </w:r>
          </w:p>
          <w:p>
            <w:pPr>
              <w:jc w:val="center"/>
              <w:rPr>
                <w:rFonts w:ascii="仿宋_GB2312" w:eastAsia="仿宋_GB2312"/>
                <w:sz w:val="24"/>
              </w:rPr>
            </w:pPr>
            <w:r>
              <w:rPr>
                <w:rFonts w:hint="eastAsia" w:ascii="仿宋_GB2312" w:eastAsia="仿宋_GB2312"/>
                <w:sz w:val="24"/>
              </w:rPr>
              <w:t>15分</w:t>
            </w:r>
          </w:p>
        </w:tc>
        <w:tc>
          <w:tcPr>
            <w:tcW w:w="5940" w:type="dxa"/>
            <w:vMerge w:val="restart"/>
            <w:vAlign w:val="center"/>
          </w:tcPr>
          <w:p>
            <w:pPr>
              <w:rPr>
                <w:rFonts w:ascii="仿宋_GB2312" w:eastAsia="仿宋_GB2312"/>
                <w:sz w:val="24"/>
              </w:rPr>
            </w:pPr>
            <w:r>
              <w:rPr>
                <w:rFonts w:hint="eastAsia" w:ascii="仿宋_GB2312" w:hAnsi="宋体" w:eastAsia="仿宋_GB2312"/>
                <w:sz w:val="24"/>
              </w:rPr>
              <w:t>每个指标均按本类别企业排序，第</w:t>
            </w:r>
            <w:r>
              <w:rPr>
                <w:rFonts w:ascii="仿宋_GB2312" w:hAnsi="宋体" w:eastAsia="仿宋_GB2312"/>
                <w:sz w:val="24"/>
              </w:rPr>
              <w:t>1位</w:t>
            </w:r>
            <w:r>
              <w:rPr>
                <w:rFonts w:hint="eastAsia" w:ascii="仿宋_GB2312" w:hAnsi="宋体" w:eastAsia="仿宋_GB2312"/>
                <w:sz w:val="24"/>
              </w:rPr>
              <w:t>15</w:t>
            </w:r>
            <w:r>
              <w:rPr>
                <w:rFonts w:ascii="仿宋_GB2312" w:hAnsi="宋体" w:eastAsia="仿宋_GB2312"/>
                <w:sz w:val="24"/>
              </w:rPr>
              <w:t>分，第二位</w:t>
            </w:r>
            <w:r>
              <w:rPr>
                <w:rFonts w:hint="eastAsia" w:ascii="仿宋_GB2312" w:hAnsi="宋体" w:eastAsia="仿宋_GB2312"/>
                <w:sz w:val="24"/>
              </w:rPr>
              <w:t>11</w:t>
            </w:r>
            <w:r>
              <w:rPr>
                <w:rFonts w:ascii="仿宋_GB2312" w:hAnsi="宋体" w:eastAsia="仿宋_GB2312"/>
                <w:sz w:val="24"/>
              </w:rPr>
              <w:t>分，第三位</w:t>
            </w:r>
            <w:r>
              <w:rPr>
                <w:rFonts w:hint="eastAsia" w:ascii="仿宋_GB2312" w:hAnsi="宋体" w:eastAsia="仿宋_GB2312"/>
                <w:sz w:val="24"/>
              </w:rPr>
              <w:t>7</w:t>
            </w:r>
            <w:r>
              <w:rPr>
                <w:rFonts w:ascii="仿宋_GB2312" w:hAnsi="宋体" w:eastAsia="仿宋_GB2312"/>
                <w:sz w:val="24"/>
              </w:rPr>
              <w:t>分，第四位</w:t>
            </w:r>
            <w:r>
              <w:rPr>
                <w:rFonts w:hint="eastAsia" w:ascii="仿宋_GB2312" w:hAnsi="宋体" w:eastAsia="仿宋_GB2312"/>
                <w:sz w:val="24"/>
              </w:rPr>
              <w:t>3</w:t>
            </w:r>
            <w:r>
              <w:rPr>
                <w:rFonts w:ascii="仿宋_GB2312" w:hAnsi="宋体" w:eastAsia="仿宋_GB2312"/>
                <w:sz w:val="24"/>
              </w:rPr>
              <w:t>分，其余位次均为0分。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98" w:type="dxa"/>
            <w:vMerge w:val="continue"/>
            <w:vAlign w:val="center"/>
          </w:tcPr>
          <w:p>
            <w:pPr>
              <w:rPr>
                <w:rFonts w:ascii="仿宋_GB2312" w:eastAsia="仿宋_GB2312"/>
                <w:color w:val="000000"/>
                <w:sz w:val="24"/>
              </w:rPr>
            </w:pPr>
          </w:p>
        </w:tc>
        <w:tc>
          <w:tcPr>
            <w:tcW w:w="126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净资产</w:t>
            </w:r>
          </w:p>
          <w:p>
            <w:pPr>
              <w:jc w:val="center"/>
              <w:rPr>
                <w:rFonts w:ascii="仿宋_GB2312" w:eastAsia="仿宋_GB2312"/>
                <w:sz w:val="24"/>
              </w:rPr>
            </w:pPr>
            <w:r>
              <w:rPr>
                <w:rFonts w:hint="eastAsia" w:ascii="仿宋_GB2312" w:eastAsia="仿宋_GB2312"/>
                <w:sz w:val="24"/>
              </w:rPr>
              <w:t>15分</w:t>
            </w:r>
          </w:p>
        </w:tc>
        <w:tc>
          <w:tcPr>
            <w:tcW w:w="5940" w:type="dxa"/>
            <w:vMerge w:val="continue"/>
            <w:vAlign w:val="center"/>
          </w:tcPr>
          <w:p>
            <w:pPr>
              <w:rPr>
                <w:rFonts w:ascii="仿宋_GB2312" w:eastAsia="仿宋_GB2312"/>
                <w:color w:val="000000"/>
                <w:sz w:val="24"/>
              </w:rPr>
            </w:pPr>
          </w:p>
        </w:tc>
      </w:tr>
    </w:tbl>
    <w:p>
      <w:pPr>
        <w:ind w:left="840" w:hanging="840" w:hangingChars="350"/>
        <w:rPr>
          <w:rFonts w:ascii="仿宋_GB2312" w:hAnsi="宋体" w:eastAsia="仿宋_GB2312"/>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注：1</w:t>
      </w:r>
      <w:r>
        <w:rPr>
          <w:rFonts w:hint="eastAsia" w:ascii="仿宋_GB2312" w:eastAsia="仿宋_GB2312"/>
          <w:color w:val="000000" w:themeColor="text1"/>
          <w:spacing w:val="-20"/>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行业奖项：指企业或产品获得市级以上文化、科技等相关行业的奖项、表彰及荣誉称号；国际性、国家级行业展会奖项记分等同于全国性行业组织授予奖项；省级行业展会奖项记分等同于全省性行业组织授予奖项。</w:t>
      </w:r>
    </w:p>
    <w:p>
      <w:pPr>
        <w:ind w:left="851" w:leftChars="234" w:right="-609" w:rightChars="-290" w:hanging="360" w:hangingChars="1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2．企业获奖认定和其他活动开展的时间范围为评选申报截止日前的两年之内，</w:t>
      </w:r>
    </w:p>
    <w:p>
      <w:pPr>
        <w:ind w:left="850" w:leftChars="405" w:right="-609" w:rightChars="-29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获奖认定时间以证书或奖牌落款时间为准。</w:t>
      </w:r>
    </w:p>
    <w:p>
      <w:pPr>
        <w:widowControl/>
        <w:ind w:right="-283" w:rightChars="-135" w:firstLine="465"/>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3．企业或产品分获不同层级的同类别奖项，依照从高不重复的原则予以计分。</w:t>
      </w:r>
    </w:p>
    <w:p>
      <w:pPr>
        <w:bidi w:val="0"/>
        <w:jc w:val="cente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E94F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2023-04-23T01:10:35Z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