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附件4</w:t>
      </w:r>
    </w:p>
    <w:p>
      <w:pPr>
        <w:rPr>
          <w:rFonts w:asciiTheme="majorEastAsia" w:hAnsiTheme="majorEastAsia" w:eastAsiaTheme="majorEastAsia"/>
          <w:b/>
          <w:color w:val="000000" w:themeColor="text1"/>
          <w:sz w:val="44"/>
          <w:szCs w:val="44"/>
        </w:rPr>
      </w:pPr>
      <w:bookmarkStart w:id="0" w:name="_GoBack"/>
      <w:r>
        <w:rPr>
          <w:rFonts w:hint="eastAsia" w:asciiTheme="majorEastAsia" w:hAnsiTheme="majorEastAsia" w:eastAsiaTheme="majorEastAsia"/>
          <w:b/>
          <w:color w:val="000000" w:themeColor="text1"/>
          <w:sz w:val="44"/>
          <w:szCs w:val="44"/>
        </w:rPr>
        <w:t>福州市“最具潜力文化企业”考评指标体系</w:t>
      </w:r>
    </w:p>
    <w:bookmarkEnd w:id="0"/>
    <w:tbl>
      <w:tblPr>
        <w:tblStyle w:val="5"/>
        <w:tblpPr w:leftFromText="180" w:rightFromText="180" w:vertAnchor="text" w:horzAnchor="margin" w:tblpY="158"/>
        <w:tblW w:w="8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1462"/>
        <w:gridCol w:w="5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8" w:type="dxa"/>
            <w:vAlign w:val="center"/>
          </w:tcPr>
          <w:p>
            <w:pPr>
              <w:spacing w:line="340" w:lineRule="exact"/>
              <w:jc w:val="center"/>
              <w:rPr>
                <w:rFonts w:ascii="黑体" w:eastAsia="黑体"/>
                <w:color w:val="000000"/>
                <w:sz w:val="24"/>
              </w:rPr>
            </w:pPr>
            <w:r>
              <w:rPr>
                <w:rFonts w:hint="eastAsia" w:ascii="黑体" w:eastAsia="黑体"/>
                <w:color w:val="000000"/>
                <w:sz w:val="24"/>
              </w:rPr>
              <w:t>一级</w:t>
            </w:r>
          </w:p>
          <w:p>
            <w:pPr>
              <w:spacing w:line="340" w:lineRule="exact"/>
              <w:jc w:val="center"/>
              <w:rPr>
                <w:rFonts w:ascii="黑体" w:eastAsia="黑体"/>
                <w:color w:val="000000"/>
                <w:sz w:val="24"/>
              </w:rPr>
            </w:pPr>
            <w:r>
              <w:rPr>
                <w:rFonts w:hint="eastAsia" w:ascii="黑体" w:eastAsia="黑体"/>
                <w:color w:val="000000"/>
                <w:sz w:val="24"/>
              </w:rPr>
              <w:t>指标</w:t>
            </w:r>
          </w:p>
        </w:tc>
        <w:tc>
          <w:tcPr>
            <w:tcW w:w="1462" w:type="dxa"/>
            <w:vAlign w:val="center"/>
          </w:tcPr>
          <w:p>
            <w:pPr>
              <w:spacing w:line="340" w:lineRule="exact"/>
              <w:jc w:val="center"/>
              <w:rPr>
                <w:rFonts w:ascii="黑体" w:eastAsia="黑体"/>
                <w:color w:val="000000"/>
                <w:sz w:val="24"/>
              </w:rPr>
            </w:pPr>
            <w:r>
              <w:rPr>
                <w:rFonts w:hint="eastAsia" w:ascii="黑体" w:eastAsia="黑体"/>
                <w:color w:val="000000"/>
                <w:sz w:val="24"/>
              </w:rPr>
              <w:t>二级</w:t>
            </w:r>
          </w:p>
          <w:p>
            <w:pPr>
              <w:spacing w:line="340" w:lineRule="exact"/>
              <w:jc w:val="center"/>
              <w:rPr>
                <w:rFonts w:ascii="黑体" w:eastAsia="黑体"/>
                <w:color w:val="000000"/>
                <w:sz w:val="24"/>
              </w:rPr>
            </w:pPr>
            <w:r>
              <w:rPr>
                <w:rFonts w:hint="eastAsia" w:ascii="黑体" w:eastAsia="黑体"/>
                <w:color w:val="000000"/>
                <w:sz w:val="24"/>
              </w:rPr>
              <w:t>指标</w:t>
            </w:r>
          </w:p>
        </w:tc>
        <w:tc>
          <w:tcPr>
            <w:tcW w:w="5738" w:type="dxa"/>
            <w:vAlign w:val="center"/>
          </w:tcPr>
          <w:p>
            <w:pPr>
              <w:spacing w:line="340" w:lineRule="exact"/>
              <w:jc w:val="center"/>
              <w:rPr>
                <w:rFonts w:ascii="黑体" w:eastAsia="黑体"/>
                <w:color w:val="000000"/>
                <w:sz w:val="24"/>
              </w:rPr>
            </w:pPr>
            <w:r>
              <w:rPr>
                <w:rFonts w:hint="eastAsia" w:ascii="黑体" w:eastAsia="黑体"/>
                <w:color w:val="000000"/>
                <w:sz w:val="24"/>
              </w:rPr>
              <w:t>量化分值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1198" w:type="dxa"/>
            <w:vMerge w:val="restart"/>
            <w:vAlign w:val="center"/>
          </w:tcPr>
          <w:p>
            <w:pPr>
              <w:spacing w:line="260" w:lineRule="exact"/>
              <w:jc w:val="center"/>
              <w:rPr>
                <w:rFonts w:ascii="仿宋_GB2312" w:eastAsia="仿宋_GB2312"/>
                <w:color w:val="000000"/>
                <w:sz w:val="24"/>
              </w:rPr>
            </w:pPr>
            <w:r>
              <w:rPr>
                <w:rFonts w:hint="eastAsia" w:ascii="仿宋_GB2312" w:eastAsia="仿宋_GB2312"/>
                <w:color w:val="000000"/>
                <w:sz w:val="24"/>
              </w:rPr>
              <w:t>社会</w:t>
            </w:r>
          </w:p>
          <w:p>
            <w:pPr>
              <w:spacing w:line="260" w:lineRule="exact"/>
              <w:jc w:val="center"/>
              <w:rPr>
                <w:rFonts w:ascii="仿宋_GB2312" w:eastAsia="仿宋_GB2312"/>
                <w:color w:val="000000"/>
                <w:sz w:val="24"/>
              </w:rPr>
            </w:pPr>
            <w:r>
              <w:rPr>
                <w:rFonts w:hint="eastAsia" w:ascii="仿宋_GB2312" w:eastAsia="仿宋_GB2312"/>
                <w:color w:val="000000"/>
                <w:sz w:val="24"/>
              </w:rPr>
              <w:t>效益</w:t>
            </w:r>
          </w:p>
          <w:p>
            <w:pPr>
              <w:spacing w:line="260" w:lineRule="exact"/>
              <w:jc w:val="center"/>
              <w:rPr>
                <w:rFonts w:ascii="仿宋_GB2312" w:eastAsia="仿宋_GB2312"/>
                <w:color w:val="000000"/>
                <w:sz w:val="24"/>
              </w:rPr>
            </w:pPr>
            <w:r>
              <w:rPr>
                <w:rFonts w:hint="eastAsia" w:ascii="仿宋_GB2312" w:eastAsia="仿宋_GB2312"/>
                <w:color w:val="000000"/>
                <w:sz w:val="24"/>
              </w:rPr>
              <w:t>30分</w:t>
            </w:r>
          </w:p>
        </w:tc>
        <w:tc>
          <w:tcPr>
            <w:tcW w:w="1462" w:type="dxa"/>
            <w:vAlign w:val="center"/>
          </w:tcPr>
          <w:p>
            <w:pPr>
              <w:spacing w:line="260" w:lineRule="exact"/>
              <w:jc w:val="center"/>
              <w:rPr>
                <w:rFonts w:ascii="仿宋_GB2312" w:eastAsia="仿宋_GB2312"/>
                <w:color w:val="000000"/>
                <w:sz w:val="24"/>
              </w:rPr>
            </w:pPr>
            <w:r>
              <w:rPr>
                <w:rFonts w:hint="eastAsia" w:ascii="仿宋_GB2312" w:eastAsia="仿宋_GB2312"/>
                <w:color w:val="000000"/>
                <w:sz w:val="24"/>
              </w:rPr>
              <w:t>文化导向</w:t>
            </w:r>
          </w:p>
          <w:p>
            <w:pPr>
              <w:spacing w:line="260" w:lineRule="exact"/>
              <w:jc w:val="center"/>
              <w:rPr>
                <w:rFonts w:ascii="仿宋_GB2312" w:eastAsia="仿宋_GB2312"/>
                <w:color w:val="000000"/>
                <w:sz w:val="24"/>
              </w:rPr>
            </w:pPr>
            <w:r>
              <w:rPr>
                <w:rFonts w:hint="eastAsia" w:ascii="仿宋_GB2312" w:eastAsia="仿宋_GB2312"/>
                <w:color w:val="000000"/>
                <w:sz w:val="24"/>
              </w:rPr>
              <w:t>15分</w:t>
            </w:r>
          </w:p>
        </w:tc>
        <w:tc>
          <w:tcPr>
            <w:tcW w:w="5738" w:type="dxa"/>
            <w:vAlign w:val="center"/>
          </w:tcPr>
          <w:p>
            <w:pPr>
              <w:spacing w:line="260" w:lineRule="exact"/>
              <w:rPr>
                <w:rFonts w:ascii="仿宋_GB2312" w:hAnsi="宋体" w:eastAsia="仿宋_GB2312"/>
                <w:color w:val="000000"/>
                <w:sz w:val="24"/>
              </w:rPr>
            </w:pPr>
            <w:r>
              <w:rPr>
                <w:rFonts w:hint="eastAsia" w:ascii="仿宋_GB2312" w:hAnsi="宋体" w:eastAsia="仿宋_GB2312"/>
                <w:color w:val="000000"/>
                <w:sz w:val="24"/>
              </w:rPr>
              <w:t>结合企业的文化产品和服务对弘扬社会主义核心价值观、中华优秀传统文化、红色文化以及闽都文化等的促进作用，给予打分。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198" w:type="dxa"/>
            <w:vMerge w:val="continue"/>
            <w:vAlign w:val="center"/>
          </w:tcPr>
          <w:p>
            <w:pPr>
              <w:spacing w:line="260" w:lineRule="exact"/>
              <w:jc w:val="center"/>
              <w:rPr>
                <w:rFonts w:ascii="仿宋_GB2312" w:eastAsia="仿宋_GB2312"/>
                <w:color w:val="000000"/>
                <w:sz w:val="24"/>
              </w:rPr>
            </w:pPr>
          </w:p>
        </w:tc>
        <w:tc>
          <w:tcPr>
            <w:tcW w:w="1462" w:type="dxa"/>
            <w:vAlign w:val="center"/>
          </w:tcPr>
          <w:p>
            <w:pPr>
              <w:spacing w:line="260" w:lineRule="exact"/>
              <w:jc w:val="center"/>
              <w:rPr>
                <w:rFonts w:ascii="仿宋_GB2312" w:eastAsia="仿宋_GB2312"/>
                <w:color w:val="000000"/>
                <w:sz w:val="24"/>
              </w:rPr>
            </w:pPr>
            <w:r>
              <w:rPr>
                <w:rFonts w:hint="eastAsia" w:ascii="仿宋_GB2312" w:eastAsia="仿宋_GB2312"/>
                <w:color w:val="000000"/>
                <w:sz w:val="24"/>
              </w:rPr>
              <w:t>公益服务</w:t>
            </w:r>
          </w:p>
          <w:p>
            <w:pPr>
              <w:spacing w:line="260" w:lineRule="exact"/>
              <w:jc w:val="center"/>
              <w:rPr>
                <w:rFonts w:ascii="仿宋_GB2312" w:eastAsia="仿宋_GB2312"/>
                <w:color w:val="000000"/>
                <w:sz w:val="24"/>
              </w:rPr>
            </w:pPr>
            <w:r>
              <w:rPr>
                <w:rFonts w:hint="eastAsia" w:ascii="仿宋_GB2312" w:eastAsia="仿宋_GB2312"/>
                <w:color w:val="000000"/>
                <w:sz w:val="24"/>
              </w:rPr>
              <w:t>15分</w:t>
            </w:r>
          </w:p>
        </w:tc>
        <w:tc>
          <w:tcPr>
            <w:tcW w:w="5738" w:type="dxa"/>
            <w:vAlign w:val="center"/>
          </w:tcPr>
          <w:p>
            <w:pPr>
              <w:spacing w:line="260" w:lineRule="exact"/>
              <w:rPr>
                <w:rFonts w:ascii="仿宋_GB2312" w:hAnsi="宋体" w:eastAsia="仿宋_GB2312"/>
                <w:color w:val="000000"/>
                <w:sz w:val="24"/>
              </w:rPr>
            </w:pPr>
            <w:r>
              <w:rPr>
                <w:rFonts w:ascii="仿宋_GB2312" w:hAnsi="宋体" w:eastAsia="仿宋_GB2312"/>
                <w:color w:val="000000"/>
                <w:sz w:val="24"/>
              </w:rPr>
              <w:t>1、企业获得市级以上诚信经营、扶贫助困、捐资助学、</w:t>
            </w:r>
          </w:p>
          <w:p>
            <w:pPr>
              <w:spacing w:line="260" w:lineRule="exact"/>
              <w:rPr>
                <w:rFonts w:ascii="仿宋_GB2312" w:hAnsi="宋体" w:eastAsia="仿宋_GB2312"/>
                <w:color w:val="000000"/>
                <w:sz w:val="24"/>
              </w:rPr>
            </w:pPr>
            <w:r>
              <w:rPr>
                <w:rFonts w:ascii="仿宋_GB2312" w:hAnsi="宋体" w:eastAsia="仿宋_GB2312"/>
                <w:color w:val="000000"/>
                <w:sz w:val="24"/>
              </w:rPr>
              <w:t xml:space="preserve">   精神文明等公益性的奖项，国家级、省级、市级的</w:t>
            </w:r>
          </w:p>
          <w:p>
            <w:pPr>
              <w:spacing w:line="260" w:lineRule="exact"/>
              <w:ind w:firstLine="360" w:firstLineChars="150"/>
              <w:rPr>
                <w:rFonts w:ascii="仿宋_GB2312" w:hAnsi="宋体" w:eastAsia="仿宋_GB2312"/>
                <w:color w:val="000000"/>
                <w:sz w:val="24"/>
              </w:rPr>
            </w:pPr>
            <w:r>
              <w:rPr>
                <w:rFonts w:hint="eastAsia" w:ascii="仿宋_GB2312" w:hAnsi="宋体" w:eastAsia="仿宋_GB2312"/>
                <w:color w:val="000000"/>
                <w:sz w:val="24"/>
              </w:rPr>
              <w:t>每个奖项分别可得</w:t>
            </w:r>
            <w:r>
              <w:rPr>
                <w:rFonts w:ascii="仿宋_GB2312" w:hAnsi="宋体" w:eastAsia="仿宋_GB2312"/>
                <w:color w:val="000000"/>
                <w:sz w:val="24"/>
              </w:rPr>
              <w:t>4-5分、2-</w:t>
            </w:r>
            <w:r>
              <w:rPr>
                <w:rFonts w:hint="eastAsia" w:ascii="仿宋_GB2312" w:hAnsi="宋体" w:eastAsia="仿宋_GB2312"/>
                <w:color w:val="000000"/>
                <w:sz w:val="24"/>
              </w:rPr>
              <w:t>3分和</w:t>
            </w:r>
            <w:r>
              <w:rPr>
                <w:rFonts w:ascii="仿宋_GB2312" w:hAnsi="宋体" w:eastAsia="仿宋_GB2312"/>
                <w:color w:val="000000"/>
                <w:sz w:val="24"/>
              </w:rPr>
              <w:t>1分。</w:t>
            </w:r>
          </w:p>
          <w:p>
            <w:pPr>
              <w:spacing w:line="260" w:lineRule="exact"/>
              <w:rPr>
                <w:rFonts w:ascii="仿宋_GB2312" w:hAnsi="宋体" w:eastAsia="仿宋_GB2312"/>
                <w:color w:val="000000"/>
                <w:sz w:val="24"/>
              </w:rPr>
            </w:pPr>
            <w:r>
              <w:rPr>
                <w:rFonts w:ascii="仿宋_GB2312" w:hAnsi="宋体" w:eastAsia="仿宋_GB2312"/>
                <w:color w:val="000000"/>
                <w:sz w:val="24"/>
              </w:rPr>
              <w:t>2、企业组织或参与各类公益活动（5分）。</w:t>
            </w:r>
          </w:p>
          <w:p>
            <w:pPr>
              <w:spacing w:line="260" w:lineRule="exact"/>
              <w:rPr>
                <w:rFonts w:ascii="仿宋_GB2312" w:hAnsi="宋体" w:eastAsia="仿宋_GB2312"/>
                <w:color w:val="000000"/>
                <w:sz w:val="24"/>
              </w:rPr>
            </w:pPr>
            <w:r>
              <w:rPr>
                <w:rFonts w:ascii="仿宋_GB2312" w:hAnsi="宋体" w:eastAsia="仿宋_GB2312"/>
                <w:color w:val="000000"/>
                <w:sz w:val="24"/>
              </w:rPr>
              <w:t>3、以上分数可累加，但不超过15分。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198" w:type="dxa"/>
            <w:vMerge w:val="restart"/>
            <w:vAlign w:val="center"/>
          </w:tcPr>
          <w:p>
            <w:pPr>
              <w:spacing w:line="260" w:lineRule="exact"/>
              <w:jc w:val="center"/>
              <w:rPr>
                <w:rFonts w:ascii="仿宋_GB2312" w:hAnsi="宋体" w:eastAsia="仿宋_GB2312"/>
                <w:color w:val="000000"/>
                <w:sz w:val="24"/>
              </w:rPr>
            </w:pPr>
            <w:r>
              <w:rPr>
                <w:rFonts w:hint="eastAsia" w:ascii="仿宋_GB2312" w:hAnsi="宋体" w:eastAsia="仿宋_GB2312"/>
                <w:color w:val="000000"/>
                <w:sz w:val="24"/>
              </w:rPr>
              <w:t>发展</w:t>
            </w:r>
          </w:p>
          <w:p>
            <w:pPr>
              <w:spacing w:line="260" w:lineRule="exact"/>
              <w:jc w:val="center"/>
              <w:rPr>
                <w:rFonts w:ascii="仿宋_GB2312" w:hAnsi="宋体" w:eastAsia="仿宋_GB2312"/>
                <w:color w:val="000000"/>
                <w:sz w:val="24"/>
              </w:rPr>
            </w:pPr>
            <w:r>
              <w:rPr>
                <w:rFonts w:hint="eastAsia" w:ascii="仿宋_GB2312" w:hAnsi="宋体" w:eastAsia="仿宋_GB2312"/>
                <w:color w:val="000000"/>
                <w:sz w:val="24"/>
              </w:rPr>
              <w:t>潜力</w:t>
            </w:r>
          </w:p>
          <w:p>
            <w:pPr>
              <w:spacing w:line="260" w:lineRule="exact"/>
              <w:jc w:val="center"/>
              <w:rPr>
                <w:rFonts w:ascii="仿宋_GB2312" w:hAnsi="宋体" w:eastAsia="仿宋_GB2312"/>
                <w:color w:val="000000"/>
                <w:sz w:val="24"/>
              </w:rPr>
            </w:pPr>
            <w:r>
              <w:rPr>
                <w:rFonts w:hint="eastAsia" w:ascii="仿宋_GB2312" w:hAnsi="宋体" w:eastAsia="仿宋_GB2312"/>
                <w:color w:val="000000"/>
                <w:sz w:val="24"/>
              </w:rPr>
              <w:t>40分</w:t>
            </w:r>
          </w:p>
        </w:tc>
        <w:tc>
          <w:tcPr>
            <w:tcW w:w="1462" w:type="dxa"/>
            <w:vAlign w:val="center"/>
          </w:tcPr>
          <w:p>
            <w:pPr>
              <w:spacing w:line="260" w:lineRule="exact"/>
              <w:jc w:val="center"/>
              <w:rPr>
                <w:rFonts w:ascii="仿宋_GB2312" w:hAnsi="宋体" w:eastAsia="仿宋_GB2312"/>
                <w:color w:val="000000"/>
                <w:sz w:val="24"/>
              </w:rPr>
            </w:pPr>
            <w:r>
              <w:rPr>
                <w:rFonts w:hint="eastAsia" w:ascii="仿宋_GB2312" w:hAnsi="宋体" w:eastAsia="仿宋_GB2312"/>
                <w:color w:val="000000"/>
                <w:sz w:val="24"/>
              </w:rPr>
              <w:t>发展思路</w:t>
            </w:r>
          </w:p>
          <w:p>
            <w:pPr>
              <w:spacing w:line="260" w:lineRule="exact"/>
              <w:jc w:val="center"/>
              <w:rPr>
                <w:rFonts w:ascii="仿宋_GB2312" w:hAnsi="宋体" w:eastAsia="仿宋_GB2312"/>
                <w:color w:val="000000"/>
                <w:sz w:val="24"/>
              </w:rPr>
            </w:pPr>
            <w:r>
              <w:rPr>
                <w:rFonts w:ascii="仿宋_GB2312" w:hAnsi="宋体" w:eastAsia="仿宋_GB2312"/>
                <w:color w:val="000000"/>
                <w:sz w:val="24"/>
              </w:rPr>
              <w:t>10</w:t>
            </w:r>
            <w:r>
              <w:rPr>
                <w:rFonts w:hint="eastAsia" w:ascii="仿宋_GB2312" w:hAnsi="宋体" w:eastAsia="仿宋_GB2312"/>
                <w:color w:val="000000"/>
                <w:sz w:val="24"/>
              </w:rPr>
              <w:t>分</w:t>
            </w:r>
          </w:p>
        </w:tc>
        <w:tc>
          <w:tcPr>
            <w:tcW w:w="5738" w:type="dxa"/>
            <w:vAlign w:val="center"/>
          </w:tcPr>
          <w:p>
            <w:pPr>
              <w:spacing w:line="260" w:lineRule="exact"/>
              <w:rPr>
                <w:rFonts w:ascii="仿宋_GB2312" w:hAnsi="宋体" w:eastAsia="仿宋_GB2312"/>
                <w:color w:val="000000"/>
                <w:sz w:val="24"/>
              </w:rPr>
            </w:pPr>
            <w:r>
              <w:rPr>
                <w:rFonts w:hint="eastAsia" w:ascii="仿宋_GB2312" w:hAnsi="宋体" w:eastAsia="仿宋_GB2312"/>
                <w:color w:val="000000"/>
                <w:sz w:val="24"/>
              </w:rPr>
              <w:t>结合企业发展规划、思路、发展方向等情况给予打分。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198" w:type="dxa"/>
            <w:vMerge w:val="continue"/>
            <w:vAlign w:val="center"/>
          </w:tcPr>
          <w:p>
            <w:pPr>
              <w:spacing w:line="260" w:lineRule="exact"/>
              <w:jc w:val="center"/>
              <w:rPr>
                <w:rFonts w:ascii="仿宋_GB2312" w:hAnsi="宋体" w:eastAsia="仿宋_GB2312"/>
                <w:color w:val="000000"/>
                <w:sz w:val="24"/>
              </w:rPr>
            </w:pPr>
          </w:p>
        </w:tc>
        <w:tc>
          <w:tcPr>
            <w:tcW w:w="1462" w:type="dxa"/>
            <w:vAlign w:val="center"/>
          </w:tcPr>
          <w:p>
            <w:pPr>
              <w:spacing w:line="260" w:lineRule="exact"/>
              <w:jc w:val="center"/>
              <w:rPr>
                <w:rFonts w:ascii="仿宋_GB2312" w:hAnsi="宋体" w:eastAsia="仿宋_GB2312"/>
                <w:color w:val="000000"/>
                <w:sz w:val="24"/>
              </w:rPr>
            </w:pPr>
            <w:r>
              <w:rPr>
                <w:rFonts w:hint="eastAsia" w:ascii="仿宋_GB2312" w:hAnsi="宋体" w:eastAsia="仿宋_GB2312"/>
                <w:color w:val="000000"/>
                <w:sz w:val="24"/>
              </w:rPr>
              <w:t>核心</w:t>
            </w:r>
          </w:p>
          <w:p>
            <w:pPr>
              <w:spacing w:line="260" w:lineRule="exact"/>
              <w:jc w:val="center"/>
              <w:rPr>
                <w:rFonts w:ascii="仿宋_GB2312" w:hAnsi="宋体" w:eastAsia="仿宋_GB2312"/>
                <w:color w:val="000000"/>
                <w:sz w:val="24"/>
              </w:rPr>
            </w:pPr>
            <w:r>
              <w:rPr>
                <w:rFonts w:hint="eastAsia" w:ascii="仿宋_GB2312" w:hAnsi="宋体" w:eastAsia="仿宋_GB2312"/>
                <w:color w:val="000000"/>
                <w:sz w:val="24"/>
              </w:rPr>
              <w:t>竞争力</w:t>
            </w:r>
          </w:p>
          <w:p>
            <w:pPr>
              <w:spacing w:line="260" w:lineRule="exact"/>
              <w:jc w:val="center"/>
              <w:rPr>
                <w:rFonts w:ascii="仿宋_GB2312" w:hAnsi="宋体" w:eastAsia="仿宋_GB2312"/>
                <w:color w:val="000000"/>
                <w:sz w:val="24"/>
              </w:rPr>
            </w:pPr>
            <w:r>
              <w:rPr>
                <w:rFonts w:hint="eastAsia" w:ascii="仿宋_GB2312" w:hAnsi="宋体" w:eastAsia="仿宋_GB2312"/>
                <w:color w:val="000000"/>
                <w:sz w:val="24"/>
              </w:rPr>
              <w:t>15分</w:t>
            </w:r>
          </w:p>
        </w:tc>
        <w:tc>
          <w:tcPr>
            <w:tcW w:w="5738" w:type="dxa"/>
            <w:vAlign w:val="center"/>
          </w:tcPr>
          <w:p>
            <w:pPr>
              <w:spacing w:line="260" w:lineRule="exact"/>
              <w:rPr>
                <w:rFonts w:ascii="仿宋_GB2312" w:hAnsi="宋体" w:eastAsia="仿宋_GB2312"/>
                <w:color w:val="000000"/>
                <w:sz w:val="24"/>
              </w:rPr>
            </w:pPr>
            <w:r>
              <w:rPr>
                <w:rFonts w:hint="eastAsia" w:ascii="仿宋_GB2312" w:hAnsi="宋体" w:eastAsia="仿宋_GB2312"/>
                <w:color w:val="000000"/>
                <w:sz w:val="24"/>
              </w:rPr>
              <w:t>结合企业获得的高新技术称号、专利数量、领军人物数量、创意团队的知名度、代理的展会影响力、广告渠道影响力、商业模式创新等，以及企业或产品获得国家级或省级专业奖项、市场占有率、品牌影响力等情况，给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198" w:type="dxa"/>
            <w:vMerge w:val="continue"/>
            <w:vAlign w:val="center"/>
          </w:tcPr>
          <w:p>
            <w:pPr>
              <w:spacing w:line="260" w:lineRule="exact"/>
              <w:jc w:val="center"/>
              <w:rPr>
                <w:rFonts w:ascii="仿宋_GB2312" w:hAnsi="宋体" w:eastAsia="仿宋_GB2312"/>
                <w:color w:val="000000"/>
                <w:sz w:val="24"/>
              </w:rPr>
            </w:pPr>
          </w:p>
        </w:tc>
        <w:tc>
          <w:tcPr>
            <w:tcW w:w="1462" w:type="dxa"/>
            <w:vAlign w:val="center"/>
          </w:tcPr>
          <w:p>
            <w:pPr>
              <w:spacing w:line="260" w:lineRule="exact"/>
              <w:jc w:val="center"/>
              <w:rPr>
                <w:rFonts w:ascii="仿宋_GB2312" w:hAnsi="宋体" w:eastAsia="仿宋_GB2312"/>
                <w:color w:val="000000"/>
                <w:sz w:val="24"/>
              </w:rPr>
            </w:pPr>
            <w:r>
              <w:rPr>
                <w:rFonts w:hint="eastAsia" w:ascii="仿宋_GB2312" w:hAnsi="宋体" w:eastAsia="仿宋_GB2312"/>
                <w:color w:val="000000"/>
                <w:sz w:val="24"/>
              </w:rPr>
              <w:t>发展前景</w:t>
            </w:r>
          </w:p>
          <w:p>
            <w:pPr>
              <w:spacing w:line="260" w:lineRule="exact"/>
              <w:jc w:val="center"/>
              <w:rPr>
                <w:rFonts w:ascii="仿宋_GB2312" w:hAnsi="宋体" w:eastAsia="仿宋_GB2312"/>
                <w:color w:val="000000"/>
                <w:sz w:val="24"/>
              </w:rPr>
            </w:pPr>
            <w:r>
              <w:rPr>
                <w:rFonts w:hint="eastAsia" w:ascii="仿宋_GB2312" w:hAnsi="宋体" w:eastAsia="仿宋_GB2312"/>
                <w:color w:val="000000"/>
                <w:sz w:val="24"/>
              </w:rPr>
              <w:t>15分</w:t>
            </w:r>
          </w:p>
        </w:tc>
        <w:tc>
          <w:tcPr>
            <w:tcW w:w="5738" w:type="dxa"/>
            <w:vAlign w:val="center"/>
          </w:tcPr>
          <w:p>
            <w:pPr>
              <w:spacing w:line="260" w:lineRule="exact"/>
              <w:rPr>
                <w:rFonts w:ascii="仿宋_GB2312" w:hAnsi="宋体" w:eastAsia="仿宋_GB2312"/>
                <w:color w:val="000000"/>
                <w:sz w:val="24"/>
              </w:rPr>
            </w:pPr>
            <w:r>
              <w:rPr>
                <w:rFonts w:hint="eastAsia" w:ascii="仿宋_GB2312" w:hAnsi="宋体" w:eastAsia="仿宋_GB2312"/>
                <w:color w:val="000000"/>
                <w:sz w:val="24"/>
              </w:rPr>
              <w:t>结合企业的资本市场认可度、客户的知名度、重大项目进展以及用户平台打造等情况，给予打分。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198" w:type="dxa"/>
            <w:vMerge w:val="restart"/>
            <w:vAlign w:val="center"/>
          </w:tcPr>
          <w:p>
            <w:pPr>
              <w:spacing w:line="260" w:lineRule="exact"/>
              <w:jc w:val="center"/>
              <w:rPr>
                <w:rFonts w:ascii="仿宋_GB2312" w:eastAsia="仿宋_GB2312"/>
                <w:color w:val="000000"/>
                <w:sz w:val="24"/>
              </w:rPr>
            </w:pPr>
            <w:r>
              <w:rPr>
                <w:rFonts w:hint="eastAsia" w:ascii="仿宋_GB2312" w:eastAsia="仿宋_GB2312"/>
                <w:color w:val="000000"/>
                <w:sz w:val="24"/>
              </w:rPr>
              <w:t>经济</w:t>
            </w:r>
          </w:p>
          <w:p>
            <w:pPr>
              <w:spacing w:line="260" w:lineRule="exact"/>
              <w:jc w:val="center"/>
              <w:rPr>
                <w:rFonts w:ascii="仿宋_GB2312" w:eastAsia="仿宋_GB2312"/>
                <w:color w:val="000000"/>
                <w:sz w:val="24"/>
              </w:rPr>
            </w:pPr>
            <w:r>
              <w:rPr>
                <w:rFonts w:hint="eastAsia" w:ascii="仿宋_GB2312" w:eastAsia="仿宋_GB2312"/>
                <w:color w:val="000000"/>
                <w:sz w:val="24"/>
              </w:rPr>
              <w:t>效益</w:t>
            </w:r>
          </w:p>
          <w:p>
            <w:pPr>
              <w:spacing w:line="260" w:lineRule="exact"/>
              <w:jc w:val="center"/>
              <w:rPr>
                <w:rFonts w:ascii="仿宋_GB2312" w:eastAsia="仿宋_GB2312"/>
                <w:color w:val="FF0000"/>
                <w:sz w:val="24"/>
              </w:rPr>
            </w:pPr>
            <w:r>
              <w:rPr>
                <w:rFonts w:hint="eastAsia" w:ascii="仿宋_GB2312" w:eastAsia="仿宋_GB2312"/>
                <w:color w:val="000000"/>
                <w:sz w:val="24"/>
              </w:rPr>
              <w:t>30分</w:t>
            </w:r>
          </w:p>
        </w:tc>
        <w:tc>
          <w:tcPr>
            <w:tcW w:w="1462" w:type="dxa"/>
            <w:vAlign w:val="center"/>
          </w:tcPr>
          <w:p>
            <w:pPr>
              <w:spacing w:line="260" w:lineRule="exact"/>
              <w:jc w:val="center"/>
              <w:rPr>
                <w:rFonts w:ascii="仿宋_GB2312" w:hAnsi="宋体" w:eastAsia="仿宋_GB2312"/>
                <w:sz w:val="24"/>
              </w:rPr>
            </w:pPr>
            <w:r>
              <w:rPr>
                <w:rFonts w:hint="eastAsia" w:ascii="仿宋_GB2312" w:hAnsi="宋体" w:eastAsia="仿宋_GB2312"/>
                <w:sz w:val="24"/>
              </w:rPr>
              <w:t>主营收入</w:t>
            </w:r>
          </w:p>
          <w:p>
            <w:pPr>
              <w:spacing w:line="260" w:lineRule="exact"/>
              <w:jc w:val="center"/>
              <w:rPr>
                <w:rFonts w:ascii="仿宋_GB2312" w:hAnsi="宋体" w:eastAsia="仿宋_GB2312"/>
                <w:sz w:val="24"/>
              </w:rPr>
            </w:pPr>
            <w:r>
              <w:rPr>
                <w:rFonts w:hint="eastAsia" w:ascii="仿宋_GB2312" w:eastAsia="仿宋_GB2312"/>
                <w:sz w:val="24"/>
              </w:rPr>
              <w:t>5</w:t>
            </w:r>
            <w:r>
              <w:rPr>
                <w:rFonts w:ascii="仿宋_GB2312" w:eastAsia="仿宋_GB2312"/>
                <w:sz w:val="24"/>
              </w:rPr>
              <w:t>分</w:t>
            </w:r>
          </w:p>
        </w:tc>
        <w:tc>
          <w:tcPr>
            <w:tcW w:w="5738" w:type="dxa"/>
            <w:vMerge w:val="restart"/>
            <w:vAlign w:val="center"/>
          </w:tcPr>
          <w:p>
            <w:pPr>
              <w:spacing w:line="260" w:lineRule="exact"/>
              <w:rPr>
                <w:rFonts w:ascii="仿宋_GB2312" w:hAnsi="宋体" w:eastAsia="仿宋_GB2312"/>
                <w:color w:val="FF0000"/>
                <w:sz w:val="24"/>
              </w:rPr>
            </w:pPr>
            <w:r>
              <w:rPr>
                <w:rFonts w:hint="eastAsia" w:ascii="仿宋_GB2312" w:hAnsi="宋体" w:eastAsia="仿宋_GB2312"/>
                <w:color w:val="000000"/>
                <w:sz w:val="24"/>
              </w:rPr>
              <w:t>每个指标均按本类别企业排序，第</w:t>
            </w:r>
            <w:r>
              <w:rPr>
                <w:rFonts w:ascii="仿宋_GB2312" w:hAnsi="宋体" w:eastAsia="仿宋_GB2312"/>
                <w:color w:val="000000"/>
                <w:sz w:val="24"/>
              </w:rPr>
              <w:t>1位5分，第二位4分，第三位3分，第四位2分，其余位次均为0分</w:t>
            </w:r>
            <w:r>
              <w:rPr>
                <w:rFonts w:hint="eastAsia" w:ascii="仿宋_GB2312" w:hAnsi="宋体" w:eastAsia="仿宋_GB2312"/>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1198" w:type="dxa"/>
            <w:vMerge w:val="continue"/>
            <w:vAlign w:val="center"/>
          </w:tcPr>
          <w:p>
            <w:pPr>
              <w:spacing w:line="260" w:lineRule="exact"/>
              <w:jc w:val="center"/>
              <w:rPr>
                <w:rFonts w:ascii="仿宋_GB2312" w:eastAsia="仿宋_GB2312"/>
                <w:color w:val="000000"/>
                <w:sz w:val="24"/>
              </w:rPr>
            </w:pPr>
          </w:p>
        </w:tc>
        <w:tc>
          <w:tcPr>
            <w:tcW w:w="1462" w:type="dxa"/>
            <w:vAlign w:val="center"/>
          </w:tcPr>
          <w:p>
            <w:pPr>
              <w:spacing w:line="260" w:lineRule="exact"/>
              <w:jc w:val="center"/>
              <w:rPr>
                <w:rFonts w:ascii="仿宋_GB2312" w:hAnsi="宋体" w:eastAsia="仿宋_GB2312"/>
                <w:sz w:val="24"/>
              </w:rPr>
            </w:pPr>
            <w:r>
              <w:rPr>
                <w:rFonts w:hint="eastAsia" w:ascii="仿宋_GB2312" w:hAnsi="宋体" w:eastAsia="仿宋_GB2312"/>
                <w:sz w:val="24"/>
              </w:rPr>
              <w:t>主营收入</w:t>
            </w:r>
          </w:p>
          <w:p>
            <w:pPr>
              <w:spacing w:line="260" w:lineRule="exact"/>
              <w:jc w:val="center"/>
              <w:rPr>
                <w:rFonts w:ascii="仿宋_GB2312" w:hAnsi="宋体" w:eastAsia="仿宋_GB2312"/>
                <w:sz w:val="24"/>
              </w:rPr>
            </w:pPr>
            <w:r>
              <w:rPr>
                <w:rFonts w:hint="eastAsia" w:ascii="仿宋_GB2312" w:hAnsi="宋体" w:eastAsia="仿宋_GB2312"/>
                <w:sz w:val="24"/>
              </w:rPr>
              <w:t>近两年年均复合增长率</w:t>
            </w:r>
          </w:p>
          <w:p>
            <w:pPr>
              <w:spacing w:line="260" w:lineRule="exact"/>
              <w:jc w:val="center"/>
              <w:rPr>
                <w:rFonts w:ascii="仿宋_GB2312" w:eastAsia="仿宋_GB2312"/>
                <w:sz w:val="24"/>
              </w:rPr>
            </w:pPr>
            <w:r>
              <w:rPr>
                <w:rFonts w:hint="eastAsia" w:ascii="仿宋_GB2312" w:eastAsia="仿宋_GB2312"/>
                <w:sz w:val="24"/>
              </w:rPr>
              <w:t>5分</w:t>
            </w:r>
          </w:p>
        </w:tc>
        <w:tc>
          <w:tcPr>
            <w:tcW w:w="5738" w:type="dxa"/>
            <w:vMerge w:val="continue"/>
            <w:vAlign w:val="center"/>
          </w:tcPr>
          <w:p>
            <w:pPr>
              <w:spacing w:line="26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198" w:type="dxa"/>
            <w:vMerge w:val="continue"/>
            <w:vAlign w:val="center"/>
          </w:tcPr>
          <w:p>
            <w:pPr>
              <w:spacing w:line="260" w:lineRule="exact"/>
              <w:rPr>
                <w:rFonts w:ascii="仿宋_GB2312" w:eastAsia="仿宋_GB2312"/>
                <w:color w:val="000000"/>
                <w:sz w:val="24"/>
              </w:rPr>
            </w:pPr>
          </w:p>
        </w:tc>
        <w:tc>
          <w:tcPr>
            <w:tcW w:w="1462" w:type="dxa"/>
            <w:vAlign w:val="center"/>
          </w:tcPr>
          <w:p>
            <w:pPr>
              <w:spacing w:line="260" w:lineRule="exact"/>
              <w:jc w:val="center"/>
              <w:rPr>
                <w:rFonts w:ascii="仿宋_GB2312" w:hAnsi="宋体" w:eastAsia="仿宋_GB2312"/>
                <w:sz w:val="24"/>
              </w:rPr>
            </w:pPr>
            <w:r>
              <w:rPr>
                <w:rFonts w:hint="eastAsia" w:ascii="仿宋_GB2312" w:hAnsi="宋体" w:eastAsia="仿宋_GB2312"/>
                <w:sz w:val="24"/>
              </w:rPr>
              <w:t>净利润</w:t>
            </w:r>
          </w:p>
          <w:p>
            <w:pPr>
              <w:spacing w:line="260" w:lineRule="exact"/>
              <w:jc w:val="center"/>
              <w:rPr>
                <w:rFonts w:ascii="仿宋_GB2312" w:hAnsi="宋体" w:eastAsia="仿宋_GB2312"/>
                <w:sz w:val="24"/>
              </w:rPr>
            </w:pPr>
            <w:r>
              <w:rPr>
                <w:rFonts w:ascii="仿宋_GB2312" w:hAnsi="宋体" w:eastAsia="仿宋_GB2312"/>
                <w:sz w:val="24"/>
              </w:rPr>
              <w:t>5分</w:t>
            </w:r>
          </w:p>
        </w:tc>
        <w:tc>
          <w:tcPr>
            <w:tcW w:w="5738" w:type="dxa"/>
            <w:vMerge w:val="continue"/>
            <w:vAlign w:val="center"/>
          </w:tcPr>
          <w:p>
            <w:pPr>
              <w:spacing w:line="260" w:lineRule="exact"/>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198" w:type="dxa"/>
            <w:vMerge w:val="continue"/>
            <w:vAlign w:val="center"/>
          </w:tcPr>
          <w:p>
            <w:pPr>
              <w:spacing w:line="260" w:lineRule="exact"/>
              <w:rPr>
                <w:rFonts w:ascii="仿宋_GB2312" w:eastAsia="仿宋_GB2312"/>
                <w:color w:val="000000"/>
                <w:sz w:val="24"/>
              </w:rPr>
            </w:pPr>
          </w:p>
        </w:tc>
        <w:tc>
          <w:tcPr>
            <w:tcW w:w="1462" w:type="dxa"/>
            <w:vAlign w:val="center"/>
          </w:tcPr>
          <w:p>
            <w:pPr>
              <w:spacing w:line="260" w:lineRule="exact"/>
              <w:jc w:val="center"/>
              <w:rPr>
                <w:rFonts w:ascii="仿宋_GB2312" w:hAnsi="宋体" w:eastAsia="仿宋_GB2312"/>
                <w:sz w:val="24"/>
              </w:rPr>
            </w:pPr>
            <w:r>
              <w:rPr>
                <w:rFonts w:hint="eastAsia" w:ascii="仿宋_GB2312" w:hAnsi="宋体" w:eastAsia="仿宋_GB2312"/>
                <w:sz w:val="24"/>
              </w:rPr>
              <w:t>净利润</w:t>
            </w:r>
          </w:p>
          <w:p>
            <w:pPr>
              <w:spacing w:line="260" w:lineRule="exact"/>
              <w:jc w:val="center"/>
              <w:rPr>
                <w:rFonts w:ascii="仿宋_GB2312" w:hAnsi="宋体" w:eastAsia="仿宋_GB2312"/>
                <w:sz w:val="24"/>
              </w:rPr>
            </w:pPr>
            <w:r>
              <w:rPr>
                <w:rFonts w:hint="eastAsia" w:ascii="仿宋_GB2312" w:hAnsi="宋体" w:eastAsia="仿宋_GB2312"/>
                <w:sz w:val="24"/>
              </w:rPr>
              <w:t>近两年年均复合增长率</w:t>
            </w:r>
          </w:p>
          <w:p>
            <w:pPr>
              <w:spacing w:line="260" w:lineRule="exact"/>
              <w:jc w:val="center"/>
              <w:rPr>
                <w:rFonts w:ascii="仿宋_GB2312" w:eastAsia="仿宋_GB2312"/>
                <w:sz w:val="24"/>
              </w:rPr>
            </w:pPr>
            <w:r>
              <w:rPr>
                <w:rFonts w:hint="eastAsia" w:ascii="仿宋_GB2312" w:eastAsia="仿宋_GB2312"/>
                <w:sz w:val="24"/>
              </w:rPr>
              <w:t>5分</w:t>
            </w:r>
          </w:p>
        </w:tc>
        <w:tc>
          <w:tcPr>
            <w:tcW w:w="5738" w:type="dxa"/>
            <w:vMerge w:val="continue"/>
            <w:vAlign w:val="center"/>
          </w:tcPr>
          <w:p>
            <w:pPr>
              <w:spacing w:line="26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198" w:type="dxa"/>
            <w:vMerge w:val="continue"/>
            <w:vAlign w:val="center"/>
          </w:tcPr>
          <w:p>
            <w:pPr>
              <w:spacing w:line="260" w:lineRule="exact"/>
              <w:rPr>
                <w:rFonts w:ascii="仿宋_GB2312" w:eastAsia="仿宋_GB2312"/>
                <w:color w:val="000000"/>
                <w:sz w:val="24"/>
              </w:rPr>
            </w:pPr>
          </w:p>
        </w:tc>
        <w:tc>
          <w:tcPr>
            <w:tcW w:w="1462" w:type="dxa"/>
            <w:vAlign w:val="center"/>
          </w:tcPr>
          <w:p>
            <w:pPr>
              <w:spacing w:line="260" w:lineRule="exact"/>
              <w:jc w:val="center"/>
              <w:rPr>
                <w:rFonts w:ascii="仿宋_GB2312" w:hAnsi="宋体" w:eastAsia="仿宋_GB2312"/>
                <w:sz w:val="24"/>
              </w:rPr>
            </w:pPr>
            <w:r>
              <w:rPr>
                <w:rFonts w:hint="eastAsia" w:ascii="仿宋_GB2312" w:hAnsi="宋体" w:eastAsia="仿宋_GB2312"/>
                <w:sz w:val="24"/>
              </w:rPr>
              <w:t>净资产</w:t>
            </w:r>
          </w:p>
          <w:p>
            <w:pPr>
              <w:spacing w:line="260" w:lineRule="exact"/>
              <w:jc w:val="center"/>
              <w:rPr>
                <w:rFonts w:ascii="仿宋_GB2312" w:hAnsi="宋体" w:eastAsia="仿宋_GB2312"/>
                <w:sz w:val="24"/>
              </w:rPr>
            </w:pPr>
            <w:r>
              <w:rPr>
                <w:rFonts w:ascii="仿宋_GB2312" w:hAnsi="宋体" w:eastAsia="仿宋_GB2312"/>
                <w:sz w:val="24"/>
              </w:rPr>
              <w:t>5分</w:t>
            </w:r>
          </w:p>
        </w:tc>
        <w:tc>
          <w:tcPr>
            <w:tcW w:w="5738" w:type="dxa"/>
            <w:vMerge w:val="continue"/>
            <w:vAlign w:val="center"/>
          </w:tcPr>
          <w:p>
            <w:pPr>
              <w:spacing w:line="260" w:lineRule="exact"/>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198" w:type="dxa"/>
            <w:vMerge w:val="continue"/>
            <w:vAlign w:val="center"/>
          </w:tcPr>
          <w:p>
            <w:pPr>
              <w:spacing w:line="260" w:lineRule="exact"/>
              <w:rPr>
                <w:rFonts w:ascii="仿宋_GB2312" w:eastAsia="仿宋_GB2312"/>
                <w:color w:val="000000"/>
                <w:sz w:val="24"/>
              </w:rPr>
            </w:pPr>
          </w:p>
        </w:tc>
        <w:tc>
          <w:tcPr>
            <w:tcW w:w="1462" w:type="dxa"/>
            <w:vAlign w:val="center"/>
          </w:tcPr>
          <w:p>
            <w:pPr>
              <w:spacing w:line="260" w:lineRule="exact"/>
              <w:jc w:val="center"/>
              <w:rPr>
                <w:rFonts w:ascii="仿宋_GB2312" w:hAnsi="宋体" w:eastAsia="仿宋_GB2312"/>
                <w:sz w:val="24"/>
              </w:rPr>
            </w:pPr>
            <w:r>
              <w:rPr>
                <w:rFonts w:hint="eastAsia" w:ascii="仿宋_GB2312" w:hAnsi="宋体" w:eastAsia="仿宋_GB2312"/>
                <w:sz w:val="24"/>
              </w:rPr>
              <w:t>净资产</w:t>
            </w:r>
          </w:p>
          <w:p>
            <w:pPr>
              <w:spacing w:line="260" w:lineRule="exact"/>
              <w:jc w:val="center"/>
              <w:rPr>
                <w:rFonts w:ascii="仿宋_GB2312" w:hAnsi="宋体" w:eastAsia="仿宋_GB2312"/>
                <w:sz w:val="24"/>
              </w:rPr>
            </w:pPr>
            <w:r>
              <w:rPr>
                <w:rFonts w:hint="eastAsia" w:ascii="仿宋_GB2312" w:hAnsi="宋体" w:eastAsia="仿宋_GB2312"/>
                <w:sz w:val="24"/>
              </w:rPr>
              <w:t>近两年年均复合增长率</w:t>
            </w:r>
          </w:p>
          <w:p>
            <w:pPr>
              <w:spacing w:line="260" w:lineRule="exact"/>
              <w:jc w:val="center"/>
              <w:rPr>
                <w:rFonts w:ascii="仿宋_GB2312" w:eastAsia="仿宋_GB2312"/>
                <w:sz w:val="24"/>
              </w:rPr>
            </w:pPr>
            <w:r>
              <w:rPr>
                <w:rFonts w:hint="eastAsia" w:ascii="仿宋_GB2312" w:eastAsia="仿宋_GB2312"/>
                <w:sz w:val="24"/>
              </w:rPr>
              <w:t>5分</w:t>
            </w:r>
          </w:p>
        </w:tc>
        <w:tc>
          <w:tcPr>
            <w:tcW w:w="5738" w:type="dxa"/>
            <w:vMerge w:val="continue"/>
            <w:vAlign w:val="center"/>
          </w:tcPr>
          <w:p>
            <w:pPr>
              <w:spacing w:line="260" w:lineRule="exact"/>
              <w:rPr>
                <w:rFonts w:ascii="仿宋_GB2312" w:eastAsia="仿宋_GB2312"/>
                <w:color w:val="000000"/>
                <w:sz w:val="24"/>
              </w:rPr>
            </w:pPr>
          </w:p>
        </w:tc>
      </w:tr>
    </w:tbl>
    <w:p>
      <w:pPr>
        <w:spacing w:line="260" w:lineRule="exact"/>
        <w:ind w:left="840" w:hanging="840" w:hangingChars="350"/>
        <w:rPr>
          <w:rFonts w:ascii="仿宋_GB2312" w:hAnsi="宋体" w:eastAsia="仿宋_GB2312"/>
          <w:b/>
          <w:color w:val="000000" w:themeColor="text1"/>
          <w:sz w:val="24"/>
        </w:rPr>
      </w:pPr>
      <w:r>
        <w:rPr>
          <w:rFonts w:hint="eastAsia" w:ascii="仿宋_GB2312" w:eastAsia="仿宋_GB2312"/>
          <w:color w:val="000000" w:themeColor="text1"/>
          <w:sz w:val="24"/>
        </w:rPr>
        <w:t>注：1</w:t>
      </w:r>
      <w:r>
        <w:rPr>
          <w:rFonts w:hint="eastAsia" w:ascii="仿宋_GB2312" w:eastAsia="仿宋_GB2312"/>
          <w:color w:val="000000" w:themeColor="text1"/>
          <w:spacing w:val="-20"/>
          <w:sz w:val="24"/>
        </w:rPr>
        <w:t>．</w:t>
      </w:r>
      <w:r>
        <w:rPr>
          <w:rFonts w:hint="eastAsia" w:ascii="仿宋_GB2312" w:eastAsia="仿宋_GB2312"/>
          <w:color w:val="000000" w:themeColor="text1"/>
          <w:sz w:val="24"/>
        </w:rPr>
        <w:t>行业奖项：指企业或产品获得市级以上文化、科技等相关行业的奖项、表彰及荣誉称号；国际性、国家级行业展会奖项记分等同于全国性行业组织授予奖项；省级行业展会奖项记分等同于全省性行业组织授予奖项。</w:t>
      </w:r>
    </w:p>
    <w:p>
      <w:pPr>
        <w:spacing w:line="260" w:lineRule="exact"/>
        <w:ind w:left="851" w:leftChars="234" w:right="-609" w:rightChars="-290" w:hanging="360" w:hangingChars="150"/>
        <w:rPr>
          <w:rFonts w:ascii="仿宋_GB2312" w:eastAsia="仿宋_GB2312"/>
          <w:color w:val="000000" w:themeColor="text1"/>
          <w:sz w:val="24"/>
        </w:rPr>
      </w:pPr>
      <w:r>
        <w:rPr>
          <w:rFonts w:hint="eastAsia" w:ascii="仿宋_GB2312" w:eastAsia="仿宋_GB2312"/>
          <w:color w:val="000000" w:themeColor="text1"/>
          <w:sz w:val="24"/>
        </w:rPr>
        <w:t>2．企业获奖认定和其他活动开展的时间范围为评选申报截止日前的两年之内，</w:t>
      </w:r>
    </w:p>
    <w:p>
      <w:pPr>
        <w:spacing w:line="260" w:lineRule="exact"/>
        <w:ind w:left="850" w:leftChars="405" w:right="-609" w:rightChars="-290"/>
        <w:rPr>
          <w:rFonts w:ascii="仿宋_GB2312" w:eastAsia="仿宋_GB2312"/>
          <w:color w:val="000000" w:themeColor="text1"/>
          <w:sz w:val="24"/>
        </w:rPr>
      </w:pPr>
      <w:r>
        <w:rPr>
          <w:rFonts w:hint="eastAsia" w:ascii="仿宋_GB2312" w:eastAsia="仿宋_GB2312"/>
          <w:color w:val="000000" w:themeColor="text1"/>
          <w:sz w:val="24"/>
        </w:rPr>
        <w:t>获奖认定时间以证书或奖牌落款时间为准。</w:t>
      </w:r>
    </w:p>
    <w:p>
      <w:pPr>
        <w:widowControl/>
        <w:spacing w:line="260" w:lineRule="exact"/>
        <w:ind w:right="-283" w:rightChars="-135" w:firstLine="465"/>
        <w:jc w:val="left"/>
        <w:rPr>
          <w:rFonts w:ascii="黑体" w:hAnsi="黑体" w:eastAsia="黑体"/>
          <w:b/>
          <w:color w:val="000000" w:themeColor="text1"/>
          <w:sz w:val="20"/>
          <w:szCs w:val="20"/>
        </w:rPr>
      </w:pPr>
      <w:r>
        <w:rPr>
          <w:rFonts w:hint="eastAsia" w:ascii="仿宋_GB2312" w:eastAsia="仿宋_GB2312"/>
          <w:color w:val="000000" w:themeColor="text1"/>
          <w:sz w:val="24"/>
        </w:rPr>
        <w:t>3．企业或产品分获不同层级的同类别奖项，依照从高不重复的原则予以计分。</w:t>
      </w:r>
    </w:p>
    <w:sectPr>
      <w:headerReference r:id="rId3" w:type="default"/>
      <w:footerReference r:id="rId4" w:type="default"/>
      <w:pgSz w:w="11906" w:h="16838"/>
      <w:pgMar w:top="1440" w:right="1701" w:bottom="1440" w:left="170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17643"/>
    <w:rsid w:val="000102C1"/>
    <w:rsid w:val="000833C3"/>
    <w:rsid w:val="000928F4"/>
    <w:rsid w:val="000A23B0"/>
    <w:rsid w:val="000A3110"/>
    <w:rsid w:val="000A6A44"/>
    <w:rsid w:val="000C4E14"/>
    <w:rsid w:val="000D3062"/>
    <w:rsid w:val="000D45F6"/>
    <w:rsid w:val="00103122"/>
    <w:rsid w:val="001131BF"/>
    <w:rsid w:val="00133445"/>
    <w:rsid w:val="0014419A"/>
    <w:rsid w:val="00153521"/>
    <w:rsid w:val="00185416"/>
    <w:rsid w:val="001B5749"/>
    <w:rsid w:val="001E06B4"/>
    <w:rsid w:val="00222913"/>
    <w:rsid w:val="002260D5"/>
    <w:rsid w:val="00261F5A"/>
    <w:rsid w:val="00292633"/>
    <w:rsid w:val="00296508"/>
    <w:rsid w:val="002F6597"/>
    <w:rsid w:val="003015B0"/>
    <w:rsid w:val="003107A6"/>
    <w:rsid w:val="0034475B"/>
    <w:rsid w:val="003911C0"/>
    <w:rsid w:val="003A23E9"/>
    <w:rsid w:val="003B6188"/>
    <w:rsid w:val="003C33FC"/>
    <w:rsid w:val="003C5EE5"/>
    <w:rsid w:val="003E1260"/>
    <w:rsid w:val="00440428"/>
    <w:rsid w:val="00465EE5"/>
    <w:rsid w:val="00483E30"/>
    <w:rsid w:val="00485D04"/>
    <w:rsid w:val="004A4666"/>
    <w:rsid w:val="004B10E4"/>
    <w:rsid w:val="00506AA0"/>
    <w:rsid w:val="00511047"/>
    <w:rsid w:val="00522472"/>
    <w:rsid w:val="005513C1"/>
    <w:rsid w:val="00557599"/>
    <w:rsid w:val="00562F87"/>
    <w:rsid w:val="005836C5"/>
    <w:rsid w:val="005A10DF"/>
    <w:rsid w:val="005E4BF1"/>
    <w:rsid w:val="006043E1"/>
    <w:rsid w:val="00612023"/>
    <w:rsid w:val="00617643"/>
    <w:rsid w:val="0062436A"/>
    <w:rsid w:val="00630144"/>
    <w:rsid w:val="00657F83"/>
    <w:rsid w:val="006627E7"/>
    <w:rsid w:val="006A577D"/>
    <w:rsid w:val="006C159A"/>
    <w:rsid w:val="00702C8D"/>
    <w:rsid w:val="007059D3"/>
    <w:rsid w:val="00715ACD"/>
    <w:rsid w:val="00721692"/>
    <w:rsid w:val="007862B0"/>
    <w:rsid w:val="00790A0B"/>
    <w:rsid w:val="007A04EF"/>
    <w:rsid w:val="007A47D8"/>
    <w:rsid w:val="007E1023"/>
    <w:rsid w:val="007E7EB4"/>
    <w:rsid w:val="00884417"/>
    <w:rsid w:val="008C0295"/>
    <w:rsid w:val="008D029B"/>
    <w:rsid w:val="008E34BB"/>
    <w:rsid w:val="00902406"/>
    <w:rsid w:val="009158FD"/>
    <w:rsid w:val="00950B80"/>
    <w:rsid w:val="00962F4C"/>
    <w:rsid w:val="009913C9"/>
    <w:rsid w:val="009A5DC9"/>
    <w:rsid w:val="009B7BD9"/>
    <w:rsid w:val="009E085E"/>
    <w:rsid w:val="009E70CD"/>
    <w:rsid w:val="00A038E7"/>
    <w:rsid w:val="00A0756D"/>
    <w:rsid w:val="00A1275A"/>
    <w:rsid w:val="00A31750"/>
    <w:rsid w:val="00A44B5E"/>
    <w:rsid w:val="00A45E97"/>
    <w:rsid w:val="00A605D3"/>
    <w:rsid w:val="00A92B49"/>
    <w:rsid w:val="00AB2D8B"/>
    <w:rsid w:val="00AC3596"/>
    <w:rsid w:val="00AC3FBD"/>
    <w:rsid w:val="00AC58F0"/>
    <w:rsid w:val="00B460DA"/>
    <w:rsid w:val="00B65379"/>
    <w:rsid w:val="00B804D6"/>
    <w:rsid w:val="00BA0A52"/>
    <w:rsid w:val="00BB0E30"/>
    <w:rsid w:val="00BB3196"/>
    <w:rsid w:val="00BB5305"/>
    <w:rsid w:val="00BF77B4"/>
    <w:rsid w:val="00C0300A"/>
    <w:rsid w:val="00C366D7"/>
    <w:rsid w:val="00C43F51"/>
    <w:rsid w:val="00C52736"/>
    <w:rsid w:val="00C91971"/>
    <w:rsid w:val="00CC34C2"/>
    <w:rsid w:val="00CD4796"/>
    <w:rsid w:val="00D02543"/>
    <w:rsid w:val="00D1419A"/>
    <w:rsid w:val="00D31E09"/>
    <w:rsid w:val="00D405CC"/>
    <w:rsid w:val="00D41256"/>
    <w:rsid w:val="00D47B13"/>
    <w:rsid w:val="00D70BA1"/>
    <w:rsid w:val="00D9404F"/>
    <w:rsid w:val="00DA53B7"/>
    <w:rsid w:val="00DB3B13"/>
    <w:rsid w:val="00DB53DB"/>
    <w:rsid w:val="00DB74C4"/>
    <w:rsid w:val="00DC22C5"/>
    <w:rsid w:val="00DF40B2"/>
    <w:rsid w:val="00E1429C"/>
    <w:rsid w:val="00E312BA"/>
    <w:rsid w:val="00E374B6"/>
    <w:rsid w:val="00E6787D"/>
    <w:rsid w:val="00E71D3A"/>
    <w:rsid w:val="00E913A6"/>
    <w:rsid w:val="00E95086"/>
    <w:rsid w:val="00EB0E3E"/>
    <w:rsid w:val="00EB1B16"/>
    <w:rsid w:val="00EC6543"/>
    <w:rsid w:val="00EF0984"/>
    <w:rsid w:val="00EF4A73"/>
    <w:rsid w:val="00F02AE3"/>
    <w:rsid w:val="00F127EE"/>
    <w:rsid w:val="00F51119"/>
    <w:rsid w:val="00F72447"/>
    <w:rsid w:val="00F72B79"/>
    <w:rsid w:val="00F736BD"/>
    <w:rsid w:val="00F75ABE"/>
    <w:rsid w:val="00FB5059"/>
    <w:rsid w:val="00FD01DC"/>
    <w:rsid w:val="00FD1FA4"/>
    <w:rsid w:val="1773106B"/>
    <w:rsid w:val="1A1952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kern w:val="0"/>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页眉 Char"/>
    <w:basedOn w:val="6"/>
    <w:link w:val="4"/>
    <w:uiPriority w:val="99"/>
    <w:rPr>
      <w:rFonts w:ascii="Calibri" w:hAnsi="Calibri" w:eastAsia="宋体" w:cs="Times New Roman"/>
      <w:kern w:val="0"/>
      <w:sz w:val="18"/>
      <w:szCs w:val="18"/>
    </w:rPr>
  </w:style>
  <w:style w:type="character" w:customStyle="1" w:styleId="8">
    <w:name w:val="页脚 Char"/>
    <w:basedOn w:val="6"/>
    <w:link w:val="3"/>
    <w:qFormat/>
    <w:uiPriority w:val="99"/>
    <w:rPr>
      <w:rFonts w:ascii="Calibri" w:hAnsi="Calibri" w:eastAsia="宋体" w:cs="Times New Roman"/>
      <w:kern w:val="0"/>
      <w:sz w:val="18"/>
      <w:szCs w:val="18"/>
    </w:rPr>
  </w:style>
  <w:style w:type="character" w:customStyle="1" w:styleId="9">
    <w:name w:val="批注框文本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B0A529-C806-4AEC-B644-DAA69D502DF4}">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8</Pages>
  <Words>598</Words>
  <Characters>3415</Characters>
  <Lines>28</Lines>
  <Paragraphs>8</Paragraphs>
  <TotalTime>2702</TotalTime>
  <ScaleCrop>false</ScaleCrop>
  <LinksUpToDate>false</LinksUpToDate>
  <CharactersWithSpaces>4005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2021-05-24T03:28:00Z</dcterms:created>
  <dc:creator>雨林木风</dc:creator>
  <cp:lastModifiedBy>LENOVO</cp:lastModifiedBy>
  <cp:lastPrinted>2021-05-27T03:25:00Z</cp:lastPrinted>
  <dcterms:modified xsi:type="dcterms:W3CDTF">2021-05-31T01:09:56Z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